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[12]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[11];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[22],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[20], [21];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8 of those 10 fully clean. The other two each failed on exactly one curated pair, for two different, specific, now-fixed reasons rather than general unreliability: noun_counter's correct-but-rarer counters (권, 분) twice lost to the generic 개 on raw corpus frequency alone, a confound in this check's method rather than a defect in the items (both still parse correctly by construction); mod_adverb's one failing verb, 청소하다, is a noun-plus-하다 compound, giving the wrong attributive form a noun inside the verb to attach to and read as marginally natural ("a clean cleaning") in a way the other, non-compound verbs do not allow. Both confounded pairs have been replaced (권/장 and 분/명 in place of 권/분 vs 개; 씻다 in place of 청소하다) rather than the result merely caveated; re-running this check against the replacement pairs is noted as pending, not assumed to already confirm the fix.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[22],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8 of the 10 skills fully clean and two each failing on one curated pair for a specific, identified reason, not noise—noun_counter (3/5) where the generic counter 개 outscores a correct but rarer counter (권, 분), and mod_adverb (4/5) where the one noun-plus-하다 compound verb in its set let the wrong attributive form attach to the embedded noun instead. These two figures describe the pairs as they stood at this measurement; both confounded pairs were replaced immediately afterward (Section IV-B), and re-measuring the replacements is recorded as outstanding rather than assumed resolved by the fix alone.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Urnings shows a non-monotonic result across the same prior-quality grid in this regime—a weak, near-uninformative prior yields a better terminal RMSE than either a neutral or a strong one—but this is a confirmed artifact, not an open question. A noisier prior pushes more items to a saturated starting urn (11.3% of items at the weakest signal level we tested, versus 0.0% at the strongest), and the adaptive selection policy never serves a saturated item in practice: tracked directly across 120,000 responses, saturated items were selected 0 times, against roughly 20–23 selections for a normally-seeded item. The same fixed response budget then concentrates onto fewer surviving items, which each calibrate more precisely purely from the extra exposure this concentration gives them—an artifact of the selection mechanism, not a real benefit of an uninformative prior. This has a practical implication beyond the simulation: a badly miscalibrated difficulty estimate for one generated item does not just misestimate that item, it can make it functionally unservable, which argues for monitoring dead items in the bank as its own signal, separate from calibration accuracy. We still report the fixed-pool regime as the headline result, since it is the simpler comparison and isolates prior quality from this selection-saturation interaction; the growing-pool finding is reported here for completeness, as an operationally relevant finding in its own right, not because it changes Novelty 2's core claim.</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