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2.3 against a true value of 1.0 and still rising, while the Urnings algorithm, with its acceptance step corrected for adaptive item selection, remains calibrated at 1.0. Third, we propose misconception-conditioned distractors. An LLM writes each item so that every wrong option realises one named misconception, checked without asking a model to judge: a KAGAS-style annotator confirms each distractor is a minimal edit of the key in the tested category and labels it by that edit, and log-probability scoring under a second model confirms the key is the only correct answer. A multinomial choice model, updated online, then reads which misconception a learner holds from the option they pick. In simulation it names the dominant misconception for 58% of learners after ten wrong answers (chance 17%), and after a misconception is remediated finds the new one for 53%, against 40% for a full-history fit. The next item is then personalised in which error it confronts, not only in how hard it is. We validate the novelty with targeted comparisons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quantifying how badly, and showing that Urnings avoids the failure only when its update is corrected for adaptive selection.</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One architectural novelty, set out in Section IV: misconception-conditioned distractors, generated by an LLM and verified by annotation and scoring rather than by a model's judgement, with an online choice model that infers which misconception a learner holds from the distractor they choose and steers the next item towards it.</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2.32 against a true value of 1.04 (1.71 at 60,000 responses, 2.08 at 90,000) and is still rising when the simulation ends; root mean squared error against true ability likewise grows, from a minimum of 0.39 at around 22,000 responses to 1.35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2.32 to 1.55 and terminal error from 1.35 to 0.59—a clear improvement that does not fully resolve the problem. The Urnings algorithm [12] performs better still, holding spread at 1.00 against the true 1.04 and error at 0.41,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26365"/>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2636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2.32 against a true value of 1.04 and is still rising; Urnings, with the selection-corrected acceptance step, holds at 1.00. (b) Elo's error against true ability grows after roughly 22,000 responses, so the estimates get worse as more data arrives. This reproduces, at realistic scale, the failure characterised analytically by Bolsinova et al. [11].</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Urnings is only immune to this failure when it is specified completely, and the complete specification is easy to miss. Its Metropolis–Hastings acceptance step assumes the item was drawn independently of the current urn states; under adaptive selection it was not, and the acceptance ratio must be multiplied by the ratio of the selection probabilities under the proposed and current states [12], [13]. We select items with the normalised Gaussian kernel of [13] on the logit distance between the learner's and the item's estimate, which makes that ratio cheap to compute. Leaving the correction out is not a small loss: in the same simulation, Urnings without it inflates to a spread of 2.63 and an error of 1.73, worse than plain Elo. An earlier version of our own implementation also stored the item urn with the opposite sign convention to the update rule, and that bug happened to mask the missing correction; both are fixed in the results reported here.</w:t>
      </w:r>
    </w:p>
    <w:p>
      <w:pPr>
        <w:widowControl/>
        <w:spacing w:after="60" w:before="0" w:line="240" w:lineRule="auto"/>
        <w:ind w:firstLine="245"/>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0.35, 0.32 and 0.36 respectively. The largest urn is worse again because at roughly 400 responses per learner it has not yet spread out to the true ability distribution (rating SD 0.72 against 1.04).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Seeding items from a predicted difficulty instead (Section III-C) does not change the conclusion. Across simulated encoders whose predictions correlate 0.96, 0.78 and 0.44 with true difficulty, eight replications each, Urnings' terminal error is 0.42, 0.42 and 0.68 (0.41 from a flat start), against 1.41, 1.47 and 1.70 for Elo (1.34) and 0.63, 0.66 and 0.90 for Parallel Elo (0.60). A poor prior still costs Urnings accuracy; it is not immune to one. Sizing each item's urn by the encoder's reported uncertainty, so that an uncertain prediction is overwritten sooner, limits the cost for the weakest encoder from 0.68 to 0.59, which is why the encoder must report a calibrated variance and not only a mean.</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IV-C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IV-C.</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Section III-B reports how much an inaccurate prior of this kind costs the tracker.</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novelty addresses gap G1: that wrong answers currently carry no information beyond being wrong. It has two halves, shown in Fig. 2: items whose every distractor realises one named misconception, and a learner model that reads which misconception a learner holds from which distractor they choose.</w:t>
      </w:r>
    </w:p>
    <w:p>
      <w:pPr>
        <w:widowControl/>
        <w:spacing w:after="60" w:before="0" w:line="240" w:lineRule="auto"/>
        <w:ind w:firstLine="245"/>
        <w:jc w:val="both"/>
      </w:pPr>
      <w:r>
        <w:rPr>
          <w:rFonts w:ascii="Times New Roman" w:hAnsi="Times New Roman" w:eastAsia="Malgun Gothic"/>
          <w:b w:val="0"/>
          <w:i w:val="0"/>
          <w:color w:val="000000"/>
          <w:sz w:val="20"/>
        </w:rPr>
        <w:t>Naming the misconceptions. A distractor's misconception label is computed, not written: a KAGAS-style annotator, following the Korean automatic grammatical error annotation scheme [43], aligns the morphemes of the key sentence and the distractor sentence (kiwipiepy) and classifies the change by its grammatical category, and the label is that edit. For closed-class edits (particles, endings, counters) the edit names the misconception directly, for example PART:에서→에 or END:었→았, after merging phonologically conditioned allomorphs such as 을/를, so the same error receives the same code in every item without any list of misconceptions written beforehand, by us or by a model. For open-class edits, such as one verb for another, the code is the lexical pair (VERB:마시→먹), which recurs less often across items. The labels are therefore deterministic and auditable from the item alone.</w:t>
      </w:r>
    </w:p>
    <w:p>
      <w:pPr>
        <w:widowControl/>
        <w:spacing w:after="60" w:before="0" w:line="240" w:lineRule="auto"/>
        <w:ind w:firstLine="245"/>
        <w:jc w:val="both"/>
      </w:pPr>
      <w:r>
        <w:rPr>
          <w:rFonts w:ascii="Times New Roman" w:hAnsi="Times New Roman" w:eastAsia="Malgun Gothic"/>
          <w:b w:val="0"/>
          <w:i w:val="0"/>
          <w:color w:val="000000"/>
          <w:sz w:val="20"/>
        </w:rPr>
        <w:t>Generating items. For each item, EXAONE writes a new sentence using the grammar point, marks the span that tests it, and writes three wrong versions of that span, each a different mistake learners typically make. When the learner model already knows which misconception a learner currently holds for the skill, the request requires one distractor to make that mistake, stated to the generator in words from its code: the next item then confronts that error again, and its outcome measures whether the error is still held. The item is personalised in which error it tests, not only in how hard it is. No sentence, slot or distractor comes from a hand-written list.</w:t>
      </w:r>
    </w:p>
    <w:p>
      <w:pPr>
        <w:widowControl/>
        <w:spacing w:after="60" w:before="0" w:line="240" w:lineRule="auto"/>
        <w:ind w:firstLine="245"/>
        <w:jc w:val="both"/>
      </w:pPr>
      <w:r>
        <w:rPr>
          <w:rFonts w:ascii="Times New Roman" w:hAnsi="Times New Roman" w:eastAsia="Malgun Gothic"/>
          <w:b w:val="0"/>
          <w:i w:val="0"/>
          <w:color w:val="000000"/>
          <w:sz w:val="20"/>
        </w:rPr>
        <w:t>Verifying items. An LLM-written distractor is only useful if it is wrong for the stated reason and wrong at all. Every check below is made without asking a model to judge, because asking Qwen3-4B whether a distractor is also acceptable failed in all three framings we tried (a persistent yes-bias, inconsistency in both directions, and below-chance pairwise comparison). First, the annotator confirms each distractor is a minimal pair of the key: exactly one edit, in the skill's category; that edit is its code. Second, the three codes differ, so whichever distractor is chosen is informative. Third, the key must be the only correct answer, checked by scoring rather than judging: under Qwen3-4B, a different model family from the generator, the sentence with the key must have a higher teacher-forced log-probability than the sentence with each distractor, as in minimal-pair evaluation of language models. On the curated minimal pairs of the earlier template system this ordering held for 51 of 52 unique pairs. It is not applied to subj_topic, whose correct answer follows a discourse convention that a language model's distribution does not reflect. An item failing any check is not discarded: the reasons are returned to EXAONE, which revises the item, up to twice, before it is dropped.</w:t>
      </w:r>
    </w:p>
    <w:p>
      <w:pPr>
        <w:widowControl/>
        <w:spacing w:after="60" w:before="0" w:line="240" w:lineRule="auto"/>
        <w:ind w:firstLine="245"/>
        <w:jc w:val="both"/>
      </w:pPr>
      <w:r>
        <w:rPr>
          <w:rFonts w:ascii="Times New Roman" w:hAnsi="Times New Roman" w:eastAsia="Malgun Gothic"/>
          <w:b w:val="0"/>
          <w:i w:val="0"/>
          <w:color w:val="000000"/>
          <w:sz w:val="20"/>
        </w:rPr>
        <w:t>Reading the choice. Following the nested logit view of multiple-choice responses [44], whether a learner answers correctly is the skill tracker's concern (Section IV-A). Given a wrong answer, which distractor attracts them is a choice among the distractors actually offered. Learner p holds a propensity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towards each misconception m of the skill, and picks distractor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realising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with the multinomial-logit (Luce) probability, writing η</w:t>
      </w:r>
      <w:r>
        <w:rPr>
          <w:rFonts w:ascii="Times New Roman" w:hAnsi="Times New Roman" w:eastAsia="Malgun Gothic"/>
          <w:b w:val="0"/>
          <w:i w:val="0"/>
          <w:color w:val="000000"/>
          <w:sz w:val="20"/>
          <w:vertAlign w:val="subscript"/>
        </w:rPr>
        <w:t>pj</w:t>
      </w:r>
      <w:r>
        <w:rPr>
          <w:rFonts w:ascii="Times New Roman" w:hAnsi="Times New Roman" w:eastAsia="Malgun Gothic"/>
          <w:b w:val="0"/>
          <w:i w:val="0"/>
          <w:color w:val="000000"/>
          <w:sz w:val="20"/>
        </w:rPr>
        <w:t xml:space="preserve"> for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at m =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P(d</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xml:space="preserve"> | wrong) = exp(η</w:t>
      </w:r>
      <w:r>
        <w:rPr>
          <w:rFonts w:ascii="Times New Roman" w:hAnsi="Times New Roman" w:eastAsia="Malgun Gothic"/>
          <w:b w:val="0"/>
          <w:i/>
          <w:color w:val="000000"/>
          <w:sz w:val="20"/>
          <w:vertAlign w:val="subscript"/>
        </w:rPr>
        <w:t>pj</w:t>
      </w:r>
      <w:r>
        <w:rPr>
          <w:rFonts w:ascii="Times New Roman" w:hAnsi="Times New Roman" w:eastAsia="Malgun Gothic"/>
          <w:b w:val="0"/>
          <w:i/>
          <w:color w:val="000000"/>
          <w:sz w:val="20"/>
        </w:rPr>
        <w:t>) / Σ</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exp(η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where the sum runs over the distractors in the item. After each wrong answer, the propensities of the offered misconceptions move by one stochastic-gradient step on the log-likelihood of the observed choice,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λ ( 1[k = j] − P(d</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 wrong) )</w:t>
        <w:tab/>
        <w:t>(3)</w:t>
      </w:r>
    </w:p>
    <w:p>
      <w:pPr>
        <w:widowControl/>
        <w:spacing w:after="60" w:before="0" w:line="240" w:lineRule="auto"/>
        <w:ind w:firstLine="245"/>
        <w:jc w:val="both"/>
      </w:pPr>
      <w:r>
        <w:rPr>
          <w:rFonts w:ascii="Times New Roman" w:hAnsi="Times New Roman" w:eastAsia="Malgun Gothic"/>
          <w:b w:val="0"/>
          <w:i w:val="0"/>
          <w:color w:val="000000"/>
          <w:sz w:val="20"/>
        </w:rPr>
        <w:t>with λ = 0.4. This is to the multinomial choice model what the Elo update is to the Bradley–Terry model, and it has the two properties a drill needs. Availability cancels: a misconception is only ever compared with the others offered in the same item, so being offered more often does not by itself make it look more attractive. And change is followed: a constant step weights recent choices more, so when a misconception is remediated and another takes over, the estimate moves to it. The learner's dominant misconception for a skill,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is what the next item is asked to target, and repeated choice of the same misconception is one of the two triggers for detailed feedback (Section IV-C). Cognitive diagnosis models would need an expert-supplied matrix mapping items to misconceptions [20], [21]; here that mapping is produced, and verified, as each item is generated.</w:t>
      </w:r>
    </w:p>
    <w:p>
      <w:pPr>
        <w:widowControl/>
        <w:spacing w:after="60" w:before="140" w:line="240" w:lineRule="auto"/>
        <w:jc w:val="left"/>
      </w:pPr>
      <w:r>
        <w:rPr>
          <w:rFonts w:ascii="Times New Roman" w:hAnsi="Times New Roman" w:eastAsia="Malgun Gothic"/>
          <w:b w:val="0"/>
          <w:i/>
          <w:color w:val="000000"/>
          <w:sz w:val="20"/>
        </w:rPr>
        <w:t>C.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serve item i with probability</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P(i | p) ∝ exp(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logit 0.85)² / (2 · 0.5²) )</w:t>
        <w:tab/>
        <w:t>(4)</w:t>
      </w:r>
    </w:p>
    <w:p>
      <w:pPr>
        <w:widowControl/>
        <w:spacing w:after="60" w:before="0" w:line="240" w:lineRule="auto"/>
        <w:ind w:firstLine="245"/>
        <w:jc w:val="both"/>
      </w:pPr>
      <w:r>
        <w:rPr>
          <w:rFonts w:ascii="Times New Roman" w:hAnsi="Times New Roman" w:eastAsia="Malgun Gothic"/>
          <w:b w:val="0"/>
          <w:i w:val="0"/>
          <w:color w:val="000000"/>
          <w:sz w:val="20"/>
        </w:rPr>
        <w:t>over the items targeting the skill, a Gaussian kernel around the 85% point as in [13]. Sampling rather than taking the closest item matters for the tracker: because the probability of serving each item is known, the Urnings update can be corrected for the item having been chosen from the current urn states (Section III-B).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(β=θ̂−logit(0.85), the centre of Eq. 4) gives 0.34—both comfortably in the conventionally "good" range (≥0.30), a 16%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5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3" name="Picture 3"/>
            <wp:cNvGraphicFramePr>
              <a:graphicFrameLocks noChangeAspect="1"/>
            </wp:cNvGraphicFramePr>
            <a:graphic>
              <a:graphicData uri="http://schemas.openxmlformats.org/drawingml/2006/picture">
                <pic:pic>
                  <pic:nvPicPr>
                    <pic:cNvPr id="0" name="fig3_escalation.png"/>
                    <pic:cNvPicPr/>
                  </pic:nvPicPr>
                  <pic:blipFill>
                    <a:blip r:embed="rId11"/>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IV-C).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the novelty gets targeted pieces of evidence rather than an exhaustive ablation grid, because a large factorial study answers questions this paper does not ask. The offline validations in Subsection B are the primary evidence for the paper's claims and stand on their own; the classroom pilot in Subsection C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covering 7 of the 7 relevant KAGAS part-of-speech categories. The gap between 120 and 11 is simply unimplemented coverage, not a claim about what has been tested—every number in Section V-B below is reported at the 11-skill scale, never projected onto the full syllabus. Misconception codes are grounded in the KAGAS error categories [43] rather than a project-specific scheme, and each code is the annotator's edit between the key and the distractor, so that the diagnostic labels a generated distractor carries are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the Novelty</w:t>
      </w:r>
    </w:p>
    <w:p>
      <w:pPr>
        <w:widowControl/>
        <w:spacing w:after="60" w:before="0" w:line="240" w:lineRule="auto"/>
        <w:jc w:val="both"/>
      </w:pPr>
      <w:r>
        <w:rPr>
          <w:rFonts w:ascii="Times New Roman" w:hAnsi="Times New Roman" w:eastAsia="Malgun Gothic"/>
          <w:b w:val="0"/>
          <w:i w:val="0"/>
          <w:color w:val="000000"/>
          <w:sz w:val="20"/>
        </w:rPr>
        <w:t>Can the learner model find the misconception from choices alone? We simulate it under the nested logit model the method assumes, with the two complications a real item pool adds. Each skill has six misconceptions and each item offers three, but unevenly: the r-th misconception is offered with weight 1/r, because some errors are easier to realise as a clean distractor than others. Learner p answers correctly with probability σ(θ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given a wrong answer, they choose by Eq. 2 with propensities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 N(0, 1) plus 1.5 on one dominant misconception, and the target is the misconception they are actually most drawn to,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In a stable condition propensities never change; in a remediated condition, after one phase, the dominant misconception is replaced by another, and accuracy is counted from the switch. We compare the online model of Eq. 3 with a raw count of choices, the rate of choices per offer, and the full-history maximum-likelihood fit of the same choice model (ridge 0.1), over 300 learners and 20 replications.</w:t>
      </w:r>
    </w:p>
    <w:p>
      <w:pPr>
        <w:widowControl/>
        <w:spacing w:after="60" w:before="0" w:line="240" w:lineRule="auto"/>
        <w:ind w:firstLine="245"/>
        <w:jc w:val="both"/>
      </w:pPr>
      <w:r>
        <w:rPr>
          <w:rFonts w:ascii="Times New Roman" w:hAnsi="Times New Roman" w:eastAsia="Malgun Gothic"/>
          <w:b w:val="0"/>
          <w:i w:val="0"/>
          <w:color w:val="000000"/>
          <w:sz w:val="20"/>
        </w:rPr>
        <w:t>After 10 wrong answers, the online model names the dominant misconception for 58.1% of learners when misconceptions are stable (95% interval over replications 57–59%; chance 16.7%), against 59.4% for the full-history fit, 60.0% for the rate and 45.9% for the count. After a remediation it names the new one for 53.2% (52–54%), against 40.1%, 40.2% and 34.6%. After 40 wrong answers the figures are 73.1% stable and 73.7% after remediation for the online model, against 78.0% and 59.3% for the full-history fit. The constant step costs about five points when misconceptions never change, and gains about fourteen when one is remediated, which is the change a drill exists to produce. The raw count is worst in both conditions, because it confuses being chosen often with being offered often.</w:t>
      </w:r>
    </w:p>
    <w:p>
      <w:pPr>
        <w:widowControl/>
        <w:spacing w:after="60" w:before="0" w:line="240" w:lineRule="auto"/>
        <w:ind w:firstLine="245"/>
        <w:jc w:val="both"/>
      </w:pPr>
      <w:r>
        <w:rPr>
          <w:rFonts w:ascii="Times New Roman" w:hAnsi="Times New Roman" w:eastAsia="Malgun Gothic"/>
          <w:b w:val="0"/>
          <w:i w:val="0"/>
          <w:color w:val="000000"/>
          <w:sz w:val="20"/>
        </w:rPr>
        <w:t>Does the item foundry produce verified items, and how often? validate_item_foundry requests 20 items per skill across the 11 skills, half of them targeted at a misconception already seen in that skill's accepted items, and reports with Wilson intervals the share accepted after at most two revisions, the reasons replies were rejected, and how many distinct codes the accepted items use and how many recur. These runs need a GPU and have not yet been made with the item foundry; this paragraph is the protocol, and every accepted item is saved for the instructor review below.</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its misconception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whether the error a distractor's code names is one an instructor recognises as a real learner misconception, and whether two instructors given only the sentence and the distractor describe the same error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 B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 B is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3659"/>
            <wp:docPr id="4" name="Picture 4"/>
            <wp:cNvGraphicFramePr>
              <a:graphicFrameLocks noChangeAspect="1"/>
            </wp:cNvGraphicFramePr>
            <a:graphic>
              <a:graphicData uri="http://schemas.openxmlformats.org/drawingml/2006/picture">
                <pic:pic>
                  <pic:nvPicPr>
                    <pic:cNvPr id="0" name="fig5_experiment.png"/>
                    <pic:cNvPicPr/>
                  </pic:nvPicPr>
                  <pic:blipFill>
                    <a:blip r:embed="rId12"/>
                    <a:stretch>
                      <a:fillRect/>
                    </a:stretch>
                  </pic:blipFill>
                  <pic:spPr>
                    <a:xfrm>
                      <a:off x="0" y="0"/>
                      <a:ext cx="6400800" cy="1653659"/>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D.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more than three from its minimum while rank-order correlation stayed near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which the tracker then corrects from real responses;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S. Yoon, S. Park, G. Kim, J. Cho, K. Park, G. T. Kim, M. Seo, and A. Oh, “Towards standardizing Korean grammatical error correction: Datasets and annotation,” in </w:t>
      </w:r>
      <w:r>
        <w:rPr>
          <w:rFonts w:ascii="Times New Roman" w:hAnsi="Times New Roman" w:eastAsia="Malgun Gothic"/>
          <w:b w:val="0"/>
          <w:i/>
          <w:color w:val="000000"/>
          <w:sz w:val="16"/>
        </w:rPr>
        <w:t>Proc. 61st Annu. Meeting Assoc. Comput. Linguistics (ACL)</w:t>
      </w:r>
      <w:r>
        <w:rPr>
          <w:rFonts w:ascii="Times New Roman" w:hAnsi="Times New Roman" w:eastAsia="Malgun Gothic"/>
          <w:b w:val="0"/>
          <w:i w:val="0"/>
          <w:color w:val="000000"/>
          <w:sz w:val="16"/>
        </w:rPr>
        <w:t>, Toronto, Canada, 2023.</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Y. Suh and D. M. Bolt, “Nested logit models for multiple-choice item response data,” </w:t>
      </w:r>
      <w:r>
        <w:rPr>
          <w:rFonts w:ascii="Times New Roman" w:hAnsi="Times New Roman" w:eastAsia="Malgun Gothic"/>
          <w:b w:val="0"/>
          <w:i/>
          <w:color w:val="000000"/>
          <w:sz w:val="16"/>
        </w:rPr>
        <w:t>Psychometrika</w:t>
      </w:r>
      <w:r>
        <w:rPr>
          <w:rFonts w:ascii="Times New Roman" w:hAnsi="Times New Roman" w:eastAsia="Malgun Gothic"/>
          <w:b w:val="0"/>
          <w:i w:val="0"/>
          <w:color w:val="000000"/>
          <w:sz w:val="16"/>
        </w:rPr>
        <w:t>, vol. 75, no. 3, pp. 454–473, 2010.</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