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an uncertainty-gated escalation policy that spends expensive model capacity only where measurement is least certain. Both personalise below the grain a selection policy alone can reach: diagnosis tailored to the specific misconception an individual answer reveals, and intervention depth tailored to how uncertain the system is about that learner on that skill—neither available to a system built around a fixed, pre-calibrated item bank.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that personalise below the grain a selection policy alone can reach: diagnosis tailored to the specific misconception an answer reveals, and intervention cost tailored to per-skill measurement uncertainty.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And its hybrid design, offering both a fast non-reasoning mode and a slower reasoning mode, maps unusually well onto the escalation policy we describe in Section IV-C. The main caveat is licensing: EXAONE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(KLUE-RoBERTa),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First, a morphological analyser confirms that the distractor actually realises the intended misconception and not some other error. Second—the most important check, and the dominant failure mode of LLM-generated distractors—it confirms that the distractor is not itself a correct answer. Korean makes this failure easy to commit: many particle substitutions that look wrong in isolation are acceptable in some reading, so a naive generator will regularly produce items with two correct options. Third, a round-trip check requires a solver model to still select the intended key.</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Uncertainty-Gated Escalation</w:t>
      </w:r>
    </w:p>
    <w:p>
      <w:pPr>
        <w:widowControl/>
        <w:spacing w:after="60" w:before="0" w:line="240" w:lineRule="auto"/>
        <w:jc w:val="both"/>
      </w:pPr>
      <w:r>
        <w:rPr>
          <w:rFonts w:ascii="Times New Roman" w:hAnsi="Times New Roman" w:eastAsia="Malgun Gothic"/>
          <w:b w:val="0"/>
          <w:i w:val="0"/>
          <w:color w:val="000000"/>
          <w:sz w:val="20"/>
        </w:rPr>
        <w:t>The second novelty addresses gap G3: that feedback is generated uniformly although its benefits are not [29]. Fig. 3 shows the policy.</w:t>
      </w:r>
    </w:p>
    <w:p>
      <w:pPr>
        <w:widowControl/>
        <w:spacing w:after="60" w:before="0" w:line="240" w:lineRule="auto"/>
        <w:ind w:firstLine="245"/>
        <w:jc w:val="both"/>
      </w:pPr>
      <w:r>
        <w:rPr>
          <w:rFonts w:ascii="Times New Roman" w:hAnsi="Times New Roman" w:eastAsia="Malgun Gothic"/>
          <w:b w:val="0"/>
          <w:i w:val="0"/>
          <w:color w:val="000000"/>
          <w:sz w:val="20"/>
        </w:rPr>
        <w:t>Each skill dimension k of a learner carries an urn whose size determines the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of the posterior—a direct, natively available signal of how evenly matched the learner's recent record has been against the items they faced on this skill, maximal when that record sits near a coin flip and smaller the further it drifts toward consistent success or failure.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absolute distance from the learner's true ability—Section V-C reports a direct test of that stronger claim, and it does not hold. What the gate below spends computation on is ambiguity in the recent record, not estimation error, a distinction worth stating plainly rather than eliding. By default the system takes a routine path: generation in EXAONE's fast non-reasoning mode and short, cached feedback. It escalates—to reasoning-mode generation of a minimal-pair probe and a contrastive English explanation naming the specific misconception—only when the recent record is ambiguous enough, or persistent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(2)</w:t>
      </w:r>
    </w:p>
    <w:p>
      <w:pPr>
        <w:widowControl/>
        <w:spacing w:after="60" w:before="0" w:line="240" w:lineRule="auto"/>
        <w:ind w:firstLine="245"/>
        <w:jc w:val="both"/>
      </w:pPr>
      <w:r>
        <w:rPr>
          <w:rFonts w:ascii="Times New Roman" w:hAnsi="Times New Roman" w:eastAsia="Malgun Gothic"/>
          <w:b w:val="0"/>
          <w:i w:val="0"/>
          <w:color w:val="000000"/>
          <w:sz w:val="20"/>
        </w:rPr>
        <w:t>That is, when the learner's recent performance on this skill has been genuinely mixed against the items they were matched to, or when the learner has repeated the same diagnosed misconception and a persistent misunderstanding is therefore indicated. Both conditions are about ambiguity and persistence in the observable record, not about an unobservable true-ability gap that no deployed system can check itself against.</w:t>
      </w:r>
    </w:p>
    <w:p>
      <w:pPr>
        <w:widowControl/>
        <w:spacing w:after="60" w:before="0" w:line="240" w:lineRule="auto"/>
        <w:ind w:firstLine="245"/>
        <w:jc w:val="both"/>
      </w:pPr>
      <w:r>
        <w:rPr>
          <w:rFonts w:ascii="Times New Roman" w:hAnsi="Times New Roman" w:eastAsia="Malgun Gothic"/>
          <w:b w:val="0"/>
          <w:i w:val="0"/>
          <w:color w:val="000000"/>
          <w:sz w:val="20"/>
        </w:rPr>
        <w:t>The argument for this is both economic and pedagogical. Economically, reasoning-mode inference is substantially more expensive than standard decoding, and spending it uniformly is waste. Pedagogically, the finding that LLM feedback produced significant gains in only two of seven lessons [29] suggests that uniform feedback dilutes effect: much of it goes to learners who did not need it. Routing elaborate explanation towards persistent, specifically diagnosed misconceptions is a principled way to concentrate it where it should do most good. We are not aware of prior work that allocates generative compute in an educational system according to this kind of psychometric ambiguity signal.</w:t>
      </w:r>
    </w:p>
    <w:p>
      <w:pPr>
        <w:widowControl/>
        <w:spacing w:after="60" w:before="140" w:line="240" w:lineRule="auto"/>
        <w:jc w:val="left"/>
      </w:pPr>
      <w:r>
        <w:rPr>
          <w:rFonts w:ascii="Times New Roman" w:hAnsi="Times New Roman" w:eastAsia="Malgun Gothic"/>
          <w:b w:val="0"/>
          <w:i/>
          <w:color w:val="000000"/>
          <w:sz w:val="20"/>
        </w:rPr>
        <w:t>D. Selection Policy: Measurement Versus Learning</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show that for a broad class of learning systems the rate of improvement is maximised at an accuracy of about 85% [27], and the pedagogical literature on desirable difficulty points the same way.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(3)</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3) gives 0.34—both comfortably in the conventionally "good" range (≥0.30), an 18% relative drop rather than a qualitative one. The trade-off is real, as stated, but the items this policy serves remain psychometrically sound; this was not previously measured and is not assumed. Scheduling across sessions follows a spacing model in the tradition of half-life regression [28], with the tracker posterior supplying the ability term.</w:t>
      </w: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Grammatical targets are drawn from a TOPIK-aligned syllabus spanning levels I through IV, decomposed into roughly 120 discrete grammatical points.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w:t>
      </w:r>
    </w:p>
    <w:p>
      <w:pPr>
        <w:widowControl/>
        <w:spacing w:after="60" w:before="140" w:line="240" w:lineRule="auto"/>
        <w:jc w:val="left"/>
      </w:pPr>
      <w:r>
        <w:rPr>
          <w:rFonts w:ascii="Times New Roman" w:hAnsi="Times New Roman" w:eastAsia="Malgun Gothic"/>
          <w:b w:val="0"/>
          <w:i/>
          <w:color w:val="000000"/>
          <w:sz w:val="20"/>
        </w:rPr>
        <w:t>C. Validating Novelty 2: Uncertainty-Gated Escalation</w:t>
      </w:r>
    </w:p>
    <w:p>
      <w:pPr>
        <w:widowControl/>
        <w:spacing w:after="60" w:before="0" w:line="240" w:lineRule="auto"/>
        <w:jc w:val="both"/>
      </w:pPr>
      <w:r>
        <w:rPr>
          <w:rFonts w:ascii="Times New Roman" w:hAnsi="Times New Roman" w:eastAsia="Malgun Gothic"/>
          <w:b w:val="0"/>
          <w:i w:val="0"/>
          <w:color w:val="000000"/>
          <w:sz w:val="20"/>
        </w:rPr>
        <w:t>Two questions. First, does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actually track absolute estimation error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the stronger claim Section IV-C explicitly declines to make? We test this directly rather than assume it: a single simulated learner per fixed true θ, run against an exactly-known item pool to equilibrium, removing every population and item-estimation confound. The result is decisive and negative. At n=32, the urn size used throughout this system, a learner at an extreme true ability converges to one of the NARROWEST urns—looking most confident—while carrying the LARGEST true error of any position tested; a learner near the pool's centre gets the WIDEST urn while carrying unremarkable error. Across a grid of θ values this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error) = −0.76 at n=32, reproduced at n=64 (−0.85), weakening only at n=128 (−0.04). We quantify this formally with the regression-calibration method of [43] (the continuous analogue of [42]'s classifier calibration error): at every nominal confidence level tested, the urn's own credible interval for θ, transformed from the proportion to the logit scale, contains the true value LESS often than claimed—a nominal 90% interval contains truth only 76-83% of the time, a nominal 50% interval only 34-43% of the time, a mean calibration error of 6-11 percentage points depending on population.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systematically overconfident as an absolute uncertainty estimate, not merely uncorrelated with one, because it is a function of the learner's current position within the urn's fixed range rather than of accumulated evidence quantity. We take this as settled for n=32 and report it plainly rather than retrofit a weaker claim the data does not support: the trigger in Eq. 2 targets ambiguous recent performance, as Section IV-C now states, and should not be read as targeting poorly-measured learners in any absolute sense. Second, is the gating worth its complexity regardless of that distinction: because update() does not depend on which feedback path produced an interaction, the learner's measured trajectory is IDENTICAL whether a given interaction was escalated or not—gating changes only what is shown to the learner, never the tracker's arithmetic—so there is no measurement-precision cost to compare. What is worth reporting is how much compute gating actually saves: across a simulated practice history of 120,000 responses from 300 learners, the gate fires on 76-82% of interactions depending on population mix, saving 18-24% of reasoning-mode calls against an always-escalate baseline at zero measured cost to tracking.</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4" name="Picture 4"/>
            <wp:cNvGraphicFramePr>
              <a:graphicFrameLocks noChangeAspect="1"/>
            </wp:cNvGraphicFramePr>
            <a:graphic>
              <a:graphicData uri="http://schemas.openxmlformats.org/drawingml/2006/picture">
                <pic:pic>
                  <pic:nvPicPr>
                    <pic:cNvPr id="0" name="fig5_experiment.png"/>
                    <pic:cNvPicPr/>
                  </pic:nvPicPr>
                  <pic:blipFill>
                    <a:blip r:embed="rId12"/>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Three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Finally, EXAONE's licence restricts commercial deployment; the Qwen3-generator configuration noted in Section III-C should be treated as the one to validate if deployment beyond research use is ever intended.</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