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1E" w:rsidRPr="00C828ED" w:rsidRDefault="00237D1E" w:rsidP="00237D1E">
      <w:pPr>
        <w:widowControl/>
        <w:shd w:val="clear" w:color="auto" w:fill="FFFFFF"/>
        <w:spacing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What can you learn from this sample code?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Through this sample code, you can learn:</w:t>
      </w:r>
    </w:p>
    <w:p w:rsidR="00237D1E" w:rsidRPr="00C828ED" w:rsidRDefault="00237D1E" w:rsidP="00237D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et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detection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results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into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admetadata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.</w:t>
      </w:r>
    </w:p>
    <w:p w:rsidR="00237D1E" w:rsidRPr="00C828ED" w:rsidRDefault="00237D1E" w:rsidP="00237D1E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Essential knowledge</w:t>
      </w:r>
    </w:p>
    <w:p w:rsidR="00237D1E" w:rsidRPr="00C828ED" w:rsidRDefault="00237D1E" w:rsidP="00237D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Plugin sample code, "video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filtr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", in C/C++.</w:t>
      </w:r>
    </w:p>
    <w:p w:rsidR="00237D1E" w:rsidRPr="00C828ED" w:rsidRDefault="00237D1E" w:rsidP="00237D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The difference between application code and plugin/element code.</w:t>
      </w:r>
    </w:p>
    <w:p w:rsidR="00237D1E" w:rsidRPr="00C828ED" w:rsidRDefault="00237D1E" w:rsidP="00237D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 metadata structure. The metadata structure could be find in Edge Vision Analytics SDK Programming Guide: How to Use ADLINK Metadata in Chapter 5.</w:t>
      </w:r>
    </w:p>
    <w:p w:rsidR="00237D1E" w:rsidRPr="00C828ED" w:rsidRDefault="00237D1E" w:rsidP="00237D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Basic C/C++ programming.</w:t>
      </w:r>
    </w:p>
    <w:p w:rsidR="00237D1E" w:rsidRPr="00C828ED" w:rsidRDefault="00237D1E" w:rsidP="00237D1E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About this sample code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sample shows how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metadata inside the element. The target created pipeline command is: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$ 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gst-launch-1.0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videotestsrc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 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video/x-raw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, width=640, height=480 !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adsetobjectdetection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admetadrawer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videoconvert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ximagesink</w:t>
      </w:r>
      <w:proofErr w:type="spellEnd"/>
      <w:proofErr w:type="gramEnd"/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command is used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display the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simulate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inferenced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object detection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result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and the </w:t>
      </w: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element(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sample code),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adset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objectdetection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simulate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detection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data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into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admetadata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.</w:t>
      </w:r>
    </w:p>
    <w:p w:rsidR="00237D1E" w:rsidRPr="00C828ED" w:rsidRDefault="00237D1E" w:rsidP="00237D1E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Description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lastRenderedPageBreak/>
        <w:t xml:space="preserve">This sample shows how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metadata inside the element. First, include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gstadmeta.h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: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#include "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gstadmeta.h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"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Second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in the virtual method,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ad_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et_</w:t>
      </w:r>
      <w:r w:rsidRPr="00237D1E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object_detection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_transform_frame_ip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of this sample has an extra code block, </w:t>
      </w:r>
      <w:proofErr w:type="spellStart"/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ObjectDetection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which is going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et the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detection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metadata: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gpointer</w:t>
      </w:r>
      <w:proofErr w:type="spellEnd"/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state = NULL;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GstAdBatchMeta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*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const</w:t>
      </w:r>
      <w:proofErr w:type="spellEnd"/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GstMetaInfo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* info = GST_AD_BATCH_META_INFO;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(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GstAdBatchMeta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*)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gst_buffer_add_meta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(buffer, info, &amp;state);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bool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frame_exist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meta-&gt;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batch.frames.size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() &gt; 0 ?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true :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false;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if(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!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frame_exist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{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VideoFrameData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::vector&lt;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adlink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ai</w:t>
      </w:r>
      <w:proofErr w:type="spellEnd"/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DetectionBoxResult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&gt;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arr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::vector&lt;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::string&gt; labels = {"water bottle", "camera", "chair", "person", "slipper"};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::vector&lt;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adlink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ai</w:t>
      </w:r>
      <w:proofErr w:type="spellEnd"/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DetectionBoxResult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&gt;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random_boxes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srand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time(NULL) );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// 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Generate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5 random dummy boxes here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lastRenderedPageBreak/>
        <w:t xml:space="preserve">    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for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(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int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0 ;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&lt; 5 ;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++ )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{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proofErr w:type="spellStart"/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adlink</w:t>
      </w:r>
      <w:proofErr w:type="spellEnd"/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ai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DetectionBoxResult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temp_box.obj_id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i+1;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temp_box.obj_label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labels[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];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temp_box.prob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(double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rand() % 1000 )/1000;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temp_box.x1 = (double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rand() % 3 + 1 )/10;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  <w:t>// 0.1~0.3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temp_box.x2 = (double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rand() % 3 + 7 )/10;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  <w:t>// 0.7~0.9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temp_box.y1 = (double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rand() % 3 + 1 )/10;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  <w:t>// 0.1~0.3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temp_box.y2 = (double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)(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rand() % 3 + 7 )/10;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  <w:t>// 0.7~0.9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random_boxes.push_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back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spellStart"/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temp_box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}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frame_info.stream_id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" ";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frame_info.width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640;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frame_info.height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480;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frame_info.depth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0;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frame_info.channels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3;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frame_info.device_idx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0;</w:t>
      </w:r>
    </w:p>
    <w:p w:rsidR="00237D1E" w:rsidRP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frame_info.detection_results.push_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back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spellStart"/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random_boxes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[rand()%5]);</w:t>
      </w:r>
    </w:p>
    <w:p w:rsidR="00237D1E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gram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-&gt;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batch.frames.push_back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spellStart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</w:t>
      </w:r>
      <w:proofErr w:type="spellEnd"/>
      <w:r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);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}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lastRenderedPageBreak/>
        <w:t xml:space="preserve">The metadata structure could be find in Edge Vision Analytics SDK Programming </w:t>
      </w: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Guide :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How to Use ADLINK Metadata in Chapter 5. Or can be found in the files:</w:t>
      </w:r>
    </w:p>
    <w:p w:rsidR="00237D1E" w:rsidRPr="00C828ED" w:rsidRDefault="00237D1E" w:rsidP="00237D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EVA_INSTALL_ROOT/include/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gstadmeta.h</w:t>
      </w:r>
      <w:proofErr w:type="spellEnd"/>
    </w:p>
    <w:p w:rsidR="00237D1E" w:rsidRPr="00C828ED" w:rsidRDefault="00237D1E" w:rsidP="00237D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EVA_INSTALL_ROOT/include/libs/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ai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structure.h</w:t>
      </w:r>
      <w:proofErr w:type="spellEnd"/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Based on the structure, the frame in vector and the inference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data are stored in each frame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need to be set up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. </w:t>
      </w:r>
      <w:r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When data in this element is empty, we’ll just randomly generate the inference data and set data into the </w:t>
      </w:r>
      <w:r w:rsidR="00783BC3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detection</w:t>
      </w:r>
      <w:r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result. The simulated result will be set into </w:t>
      </w:r>
      <w:proofErr w:type="spellStart"/>
      <w:r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adbatchmetadata</w:t>
      </w:r>
      <w:proofErr w:type="spellEnd"/>
      <w:r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with frame information.</w:t>
      </w:r>
      <w:bookmarkStart w:id="0" w:name="_GoBack"/>
      <w:bookmarkEnd w:id="0"/>
    </w:p>
    <w:p w:rsidR="00237D1E" w:rsidRPr="00C828ED" w:rsidRDefault="00237D1E" w:rsidP="00237D1E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Run this sample code</w:t>
      </w:r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Copy the built plugin libad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</w:t>
      </w:r>
      <w:r w:rsidR="00783BC3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objectdetection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.so file to the plugin folder EVA installed, here used EVA_ROOT to preset the installed path of EVASDK. Then run the pipeline command for testing: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$ </w:t>
      </w:r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gst-launch-1.0</w:t>
      </w:r>
      <w:proofErr w:type="gram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videotestsrc</w:t>
      </w:r>
      <w:proofErr w:type="spell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 </w:t>
      </w:r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video/x-raw</w:t>
      </w:r>
      <w:proofErr w:type="gram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, width=640, height=480 ! </w:t>
      </w:r>
      <w:proofErr w:type="spellStart"/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adsetobjectdetection</w:t>
      </w:r>
      <w:proofErr w:type="spell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admetadrawer</w:t>
      </w:r>
      <w:proofErr w:type="spell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videoconvert</w:t>
      </w:r>
      <w:proofErr w:type="spell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783BC3" w:rsidRPr="00237D1E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ximagesink</w:t>
      </w:r>
      <w:proofErr w:type="spellEnd"/>
      <w:proofErr w:type="gramEnd"/>
    </w:p>
    <w:p w:rsidR="00237D1E" w:rsidRPr="00C828ED" w:rsidRDefault="00237D1E" w:rsidP="00237D1E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and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you will see the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inference result displayed frame by frame in the window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:</w:t>
      </w:r>
    </w:p>
    <w:p w:rsidR="00237D1E" w:rsidRPr="00C828ED" w:rsidRDefault="00237D1E" w:rsidP="00237D1E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gramStart"/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</w:t>
      </w:r>
      <w:proofErr w:type="gramEnd"/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</w:t>
      </w:r>
    </w:p>
    <w:p w:rsidR="00237D1E" w:rsidRPr="00C828ED" w:rsidRDefault="00237D1E" w:rsidP="00237D1E"/>
    <w:p w:rsidR="00E17DF1" w:rsidRDefault="00E17DF1"/>
    <w:sectPr w:rsidR="00E17D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2344"/>
    <w:multiLevelType w:val="multilevel"/>
    <w:tmpl w:val="504A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277F"/>
    <w:multiLevelType w:val="multilevel"/>
    <w:tmpl w:val="F04C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87015"/>
    <w:multiLevelType w:val="multilevel"/>
    <w:tmpl w:val="2CA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1E"/>
    <w:rsid w:val="00237D1E"/>
    <w:rsid w:val="00783BC3"/>
    <w:rsid w:val="00E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CC16"/>
  <w15:chartTrackingRefBased/>
  <w15:docId w15:val="{E2630F94-F586-4B87-80B7-27F6883C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D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2022-07-27T03:12:00Z</dcterms:created>
  <dcterms:modified xsi:type="dcterms:W3CDTF">2022-07-27T03:24:00Z</dcterms:modified>
</cp:coreProperties>
</file>