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A507" w14:textId="77777777" w:rsidR="0054545C" w:rsidRPr="00660493" w:rsidRDefault="00000000" w:rsidP="00EA0354">
      <w:pPr>
        <w:pStyle w:val="Heading1"/>
        <w:spacing w:before="0" w:line="360" w:lineRule="auto"/>
        <w:jc w:val="both"/>
        <w:rPr>
          <w:rFonts w:ascii="Times New Roman" w:eastAsia="Arial" w:hAnsi="Times New Roman" w:cs="Times New Roman"/>
          <w:b/>
          <w:bCs/>
          <w:sz w:val="24"/>
          <w:szCs w:val="24"/>
        </w:rPr>
      </w:pPr>
      <w:r w:rsidRPr="00660493">
        <w:rPr>
          <w:rFonts w:ascii="Times New Roman" w:eastAsia="Arial" w:hAnsi="Times New Roman" w:cs="Times New Roman"/>
          <w:b/>
          <w:bCs/>
          <w:sz w:val="24"/>
          <w:szCs w:val="24"/>
        </w:rPr>
        <w:t>Executive Summary</w:t>
      </w:r>
    </w:p>
    <w:p w14:paraId="19A2C64D" w14:textId="3B1EA3FB" w:rsidR="0054545C" w:rsidRPr="00660493" w:rsidRDefault="00CF2A08" w:rsidP="00EA0354">
      <w:pPr>
        <w:spacing w:line="360" w:lineRule="auto"/>
        <w:jc w:val="both"/>
        <w:rPr>
          <w:rFonts w:ascii="Times New Roman" w:eastAsia="Arial" w:hAnsi="Times New Roman" w:cs="Times New Roman"/>
          <w:sz w:val="24"/>
          <w:szCs w:val="24"/>
        </w:rPr>
      </w:pPr>
      <w:r w:rsidRPr="00CF2A08">
        <w:rPr>
          <w:rFonts w:ascii="Times New Roman" w:eastAsia="Arial" w:hAnsi="Times New Roman" w:cs="Times New Roman"/>
          <w:sz w:val="24"/>
          <w:szCs w:val="24"/>
        </w:rPr>
        <w:t xml:space="preserve">This report provides a comprehensive analysis of </w:t>
      </w:r>
      <w:r w:rsidR="00EA0354" w:rsidRPr="00660493">
        <w:rPr>
          <w:rFonts w:ascii="Times New Roman" w:eastAsia="Arial" w:hAnsi="Times New Roman" w:cs="Times New Roman"/>
          <w:sz w:val="24"/>
          <w:szCs w:val="24"/>
        </w:rPr>
        <w:t>Thien Long Group Corporation (HOSE: TLG)</w:t>
      </w:r>
      <w:r w:rsidRPr="00CF2A08">
        <w:rPr>
          <w:rFonts w:ascii="Times New Roman" w:eastAsia="Arial" w:hAnsi="Times New Roman" w:cs="Times New Roman"/>
          <w:sz w:val="24"/>
          <w:szCs w:val="24"/>
        </w:rPr>
        <w:t xml:space="preserve">, a leading national brand in the stationery market with over 40 years of development. The first section details TLG’s background and market position, highlighting its strategic transition toward international </w:t>
      </w:r>
      <w:r w:rsidRPr="00CF2A08">
        <w:rPr>
          <w:rFonts w:ascii="Times New Roman" w:eastAsia="Arial" w:hAnsi="Times New Roman" w:cs="Times New Roman"/>
          <w:sz w:val="24"/>
          <w:szCs w:val="24"/>
        </w:rPr>
        <w:t>expansion,</w:t>
      </w:r>
      <w:r w:rsidRPr="00CF2A08">
        <w:rPr>
          <w:rFonts w:ascii="Times New Roman" w:eastAsia="Arial" w:hAnsi="Times New Roman" w:cs="Times New Roman"/>
          <w:sz w:val="24"/>
          <w:szCs w:val="24"/>
        </w:rPr>
        <w:t xml:space="preserve"> which now constitutes 24% of revenue. </w:t>
      </w:r>
      <w:r w:rsidR="00EA0354" w:rsidRPr="00EA0354">
        <w:rPr>
          <w:rFonts w:ascii="Times New Roman" w:eastAsia="Arial" w:hAnsi="Times New Roman" w:cs="Times New Roman"/>
          <w:sz w:val="24"/>
          <w:szCs w:val="24"/>
        </w:rPr>
        <w:t>Following a detailed investigation of historical data from 2018</w:t>
      </w:r>
      <w:r w:rsidR="00EA0354">
        <w:rPr>
          <w:rFonts w:ascii="Times New Roman" w:eastAsia="Arial" w:hAnsi="Times New Roman" w:cs="Times New Roman"/>
          <w:sz w:val="24"/>
          <w:szCs w:val="24"/>
        </w:rPr>
        <w:t>-</w:t>
      </w:r>
      <w:r w:rsidR="00EA0354" w:rsidRPr="00EA0354">
        <w:rPr>
          <w:rFonts w:ascii="Times New Roman" w:eastAsia="Arial" w:hAnsi="Times New Roman" w:cs="Times New Roman"/>
          <w:sz w:val="24"/>
          <w:szCs w:val="24"/>
        </w:rPr>
        <w:t>2022</w:t>
      </w:r>
      <w:r w:rsidR="00EA0354">
        <w:rPr>
          <w:rFonts w:ascii="Times New Roman" w:eastAsia="Arial" w:hAnsi="Times New Roman" w:cs="Times New Roman"/>
          <w:sz w:val="24"/>
          <w:szCs w:val="24"/>
        </w:rPr>
        <w:t>, t</w:t>
      </w:r>
      <w:r w:rsidRPr="00CF2A08">
        <w:rPr>
          <w:rFonts w:ascii="Times New Roman" w:eastAsia="Arial" w:hAnsi="Times New Roman" w:cs="Times New Roman"/>
          <w:sz w:val="24"/>
          <w:szCs w:val="24"/>
        </w:rPr>
        <w:t>he subsequent analysis evaluates TLG’s financial health through various metrics, revealing a fortress-like balance sheet with an Altman Z-Score consistently above 5.0, yet identifying operational bottlenecks such as an elongated cash conversion cycle of 206 days and current ratios that suggest underutilized capital. Central to this study is a multi-method valuation</w:t>
      </w:r>
      <w:r w:rsidR="00EA0354">
        <w:rPr>
          <w:rFonts w:ascii="Times New Roman" w:eastAsia="Arial" w:hAnsi="Times New Roman" w:cs="Times New Roman"/>
          <w:sz w:val="24"/>
          <w:szCs w:val="24"/>
        </w:rPr>
        <w:t xml:space="preserve">, </w:t>
      </w:r>
      <w:r w:rsidRPr="00CF2A08">
        <w:rPr>
          <w:rFonts w:ascii="Times New Roman" w:eastAsia="Arial" w:hAnsi="Times New Roman" w:cs="Times New Roman"/>
          <w:sz w:val="24"/>
          <w:szCs w:val="24"/>
        </w:rPr>
        <w:t>comprising DCF, APV, DDM, and relative metrics</w:t>
      </w:r>
      <w:r w:rsidR="00EA0354">
        <w:rPr>
          <w:rFonts w:ascii="Times New Roman" w:eastAsia="Arial" w:hAnsi="Times New Roman" w:cs="Times New Roman"/>
          <w:sz w:val="24"/>
          <w:szCs w:val="24"/>
        </w:rPr>
        <w:t xml:space="preserve">, </w:t>
      </w:r>
      <w:r w:rsidRPr="00CF2A08">
        <w:rPr>
          <w:rFonts w:ascii="Times New Roman" w:eastAsia="Arial" w:hAnsi="Times New Roman" w:cs="Times New Roman"/>
          <w:sz w:val="24"/>
          <w:szCs w:val="24"/>
        </w:rPr>
        <w:t>which determines a weighted intrinsic share price of 73,287 VND based on a conservative 2.4% terminal growth rate and a WACC of 5.73%. Furthermore, the risk management section assesses critical operational and economic vulnerabilities, including inventory management risks, exchange rate volatility, and the long-term structural threat of digital education. Ultimately, the report concludes that while TLG is a high-quality defensive asset, its future value creation is contingent upon improving supply chain efficiency and successfully navigating the digital transformation of the global education sector.</w:t>
      </w:r>
    </w:p>
    <w:p w14:paraId="149E39C3" w14:textId="77777777" w:rsidR="0054545C" w:rsidRPr="00660493" w:rsidRDefault="00000000" w:rsidP="00EA0354">
      <w:pPr>
        <w:pStyle w:val="Heading1"/>
        <w:numPr>
          <w:ilvl w:val="0"/>
          <w:numId w:val="1"/>
        </w:numPr>
        <w:spacing w:before="0" w:line="360" w:lineRule="auto"/>
        <w:jc w:val="both"/>
        <w:rPr>
          <w:rFonts w:ascii="Times New Roman" w:eastAsia="Arial" w:hAnsi="Times New Roman" w:cs="Times New Roman"/>
          <w:b/>
          <w:bCs/>
          <w:sz w:val="24"/>
          <w:szCs w:val="24"/>
        </w:rPr>
      </w:pPr>
      <w:r w:rsidRPr="00660493">
        <w:rPr>
          <w:rFonts w:ascii="Times New Roman" w:eastAsia="Arial" w:hAnsi="Times New Roman" w:cs="Times New Roman"/>
          <w:b/>
          <w:bCs/>
          <w:sz w:val="24"/>
          <w:szCs w:val="24"/>
        </w:rPr>
        <w:t>Introduction</w:t>
      </w:r>
    </w:p>
    <w:p w14:paraId="151AB3C0" w14:textId="77777777" w:rsidR="0054545C" w:rsidRPr="00660493" w:rsidRDefault="00000000" w:rsidP="00EA0354">
      <w:pPr>
        <w:pStyle w:val="Heading2"/>
        <w:numPr>
          <w:ilvl w:val="0"/>
          <w:numId w:val="15"/>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Company Background</w:t>
      </w:r>
    </w:p>
    <w:p w14:paraId="3C6E9249"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With the first Thien Long ballpoint pen facility established in 1981, over 40 years of development, Thien Long Group Corporation (HOSE: TLG) is now a big name in the field of stationery in Vietnam. Thien Long has the attitude of "national product" present in all 63 domestic provinces and cities and 70 countries worldwide (Tu, 2022). Typical products of TLG include Thien Long brand specializing in pens and office utility products; </w:t>
      </w:r>
      <w:proofErr w:type="spellStart"/>
      <w:r w:rsidRPr="00660493">
        <w:rPr>
          <w:rFonts w:ascii="Times New Roman" w:eastAsia="Arial" w:hAnsi="Times New Roman" w:cs="Times New Roman"/>
          <w:sz w:val="24"/>
          <w:szCs w:val="24"/>
        </w:rPr>
        <w:t>Bizner</w:t>
      </w:r>
      <w:proofErr w:type="spellEnd"/>
      <w:r w:rsidRPr="00660493">
        <w:rPr>
          <w:rFonts w:ascii="Times New Roman" w:eastAsia="Arial" w:hAnsi="Times New Roman" w:cs="Times New Roman"/>
          <w:sz w:val="24"/>
          <w:szCs w:val="24"/>
        </w:rPr>
        <w:t xml:space="preserve"> is a distributor of high-end stationery products; </w:t>
      </w:r>
      <w:proofErr w:type="spellStart"/>
      <w:r w:rsidRPr="00660493">
        <w:rPr>
          <w:rFonts w:ascii="Times New Roman" w:eastAsia="Arial" w:hAnsi="Times New Roman" w:cs="Times New Roman"/>
          <w:sz w:val="24"/>
          <w:szCs w:val="24"/>
        </w:rPr>
        <w:t>FlexOffice</w:t>
      </w:r>
      <w:proofErr w:type="spellEnd"/>
      <w:r w:rsidRPr="00660493">
        <w:rPr>
          <w:rFonts w:ascii="Times New Roman" w:eastAsia="Arial" w:hAnsi="Times New Roman" w:cs="Times New Roman"/>
          <w:sz w:val="24"/>
          <w:szCs w:val="24"/>
        </w:rPr>
        <w:t xml:space="preserve"> is about office supplies products; finally, </w:t>
      </w:r>
      <w:proofErr w:type="spellStart"/>
      <w:r w:rsidRPr="00660493">
        <w:rPr>
          <w:rFonts w:ascii="Times New Roman" w:eastAsia="Arial" w:hAnsi="Times New Roman" w:cs="Times New Roman"/>
          <w:sz w:val="24"/>
          <w:szCs w:val="24"/>
        </w:rPr>
        <w:t>ColorKit</w:t>
      </w:r>
      <w:proofErr w:type="spellEnd"/>
      <w:r w:rsidRPr="00660493">
        <w:rPr>
          <w:rFonts w:ascii="Times New Roman" w:eastAsia="Arial" w:hAnsi="Times New Roman" w:cs="Times New Roman"/>
          <w:sz w:val="24"/>
          <w:szCs w:val="24"/>
        </w:rPr>
        <w:t xml:space="preserve"> with tools related to Arts. Currently, TLG's international business activities have been mostly stable in a positive direction when increasing the proportion from 21% to 24% in Thien Long's revenue structure by the market in the period of 2021 - 2022 (TLG, 2023).</w:t>
      </w:r>
    </w:p>
    <w:p w14:paraId="78EEC392" w14:textId="77777777" w:rsidR="0054545C" w:rsidRPr="00660493" w:rsidRDefault="00000000" w:rsidP="00EA0354">
      <w:pPr>
        <w:pStyle w:val="Heading2"/>
        <w:numPr>
          <w:ilvl w:val="0"/>
          <w:numId w:val="15"/>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lastRenderedPageBreak/>
        <w:t>Vision &amp; Mission</w:t>
      </w:r>
    </w:p>
    <w:p w14:paraId="7AD1BC0F"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TLG’s vision aims to become a company that delivers great influence and offers complete and effective solutions for happy lifelong learning. Therefore, it established five main missions: Enhancing the brand with a dream to become the most well-known stationery and pen brand in Southeast Asia with the brand </w:t>
      </w:r>
      <w:proofErr w:type="spellStart"/>
      <w:r w:rsidRPr="00660493">
        <w:rPr>
          <w:rFonts w:ascii="Times New Roman" w:eastAsia="Arial" w:hAnsi="Times New Roman" w:cs="Times New Roman"/>
          <w:sz w:val="24"/>
          <w:szCs w:val="24"/>
        </w:rPr>
        <w:t>FlexOffice</w:t>
      </w:r>
      <w:proofErr w:type="spellEnd"/>
      <w:r w:rsidRPr="00660493">
        <w:rPr>
          <w:rFonts w:ascii="Times New Roman" w:eastAsia="Arial" w:hAnsi="Times New Roman" w:cs="Times New Roman"/>
          <w:sz w:val="24"/>
          <w:szCs w:val="24"/>
        </w:rPr>
        <w:t>; Promoting the multi-channel model to firmly grasp the position in the domestic market; Upgrading communication and marketing channels to reach the world-class stationery brand; Expanding the ecosystem to respond to the change of the times; And strengthening sustainable development initiatives (ESG) and speeding digital transformation in the workplace to maximize employee performance.</w:t>
      </w:r>
    </w:p>
    <w:p w14:paraId="5B288DC0" w14:textId="77777777" w:rsidR="0054545C" w:rsidRPr="00660493" w:rsidRDefault="0054545C" w:rsidP="00EA0354">
      <w:pPr>
        <w:spacing w:line="360" w:lineRule="auto"/>
        <w:jc w:val="both"/>
        <w:rPr>
          <w:rFonts w:ascii="Times New Roman" w:eastAsia="Arial" w:hAnsi="Times New Roman" w:cs="Times New Roman"/>
          <w:sz w:val="24"/>
          <w:szCs w:val="24"/>
        </w:rPr>
      </w:pPr>
    </w:p>
    <w:p w14:paraId="3DD2D3CB" w14:textId="77777777" w:rsidR="0054545C" w:rsidRPr="00660493" w:rsidRDefault="00000000" w:rsidP="00EA0354">
      <w:pPr>
        <w:pStyle w:val="Heading2"/>
        <w:numPr>
          <w:ilvl w:val="0"/>
          <w:numId w:val="15"/>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lastRenderedPageBreak/>
        <w:t>Organizational Structure</w:t>
      </w:r>
    </w:p>
    <w:p w14:paraId="5C13F2CE"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b/>
          <w:noProof/>
          <w:sz w:val="24"/>
          <w:szCs w:val="24"/>
        </w:rPr>
        <w:drawing>
          <wp:inline distT="0" distB="0" distL="0" distR="0" wp14:anchorId="69F16AF2" wp14:editId="6DA0BE9F">
            <wp:extent cx="5943600" cy="5548630"/>
            <wp:effectExtent l="0" t="0" r="0" b="0"/>
            <wp:docPr id="2131251262" name="image8.png" descr="A diagram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diagram of a company&#10;&#10;Description automatically generated"/>
                    <pic:cNvPicPr preferRelativeResize="0"/>
                  </pic:nvPicPr>
                  <pic:blipFill>
                    <a:blip r:embed="rId8"/>
                    <a:srcRect/>
                    <a:stretch>
                      <a:fillRect/>
                    </a:stretch>
                  </pic:blipFill>
                  <pic:spPr>
                    <a:xfrm>
                      <a:off x="0" y="0"/>
                      <a:ext cx="5943600" cy="5548630"/>
                    </a:xfrm>
                    <a:prstGeom prst="rect">
                      <a:avLst/>
                    </a:prstGeom>
                    <a:ln/>
                  </pic:spPr>
                </pic:pic>
              </a:graphicData>
            </a:graphic>
          </wp:inline>
        </w:drawing>
      </w:r>
    </w:p>
    <w:p w14:paraId="04569D6F"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Thien Long Group showed its organizational structure as a vertical organization with a functional structure, which gives shareholders the ability to select the board of directors (BOD). The Board of Directors (BOD) then chose a Chief Executive Officer (CEO), who will oversee the leaders of other departments (Tamplin, 2023). However, the special thing about TLG is that the governance structure is a reverse model, meaning that the position of CEO is the lowest position to support employees. According to Ms. Phuong Nga, the current CEO of Thien Long, stated that the old traditional structure was no longer suitable for the no longer effective at the current time, when the market always requires innovation. As a result, Thien Long's organizational chart is newly </w:t>
      </w:r>
      <w:r w:rsidRPr="00660493">
        <w:rPr>
          <w:rFonts w:ascii="Times New Roman" w:eastAsia="Arial" w:hAnsi="Times New Roman" w:cs="Times New Roman"/>
          <w:sz w:val="24"/>
          <w:szCs w:val="24"/>
        </w:rPr>
        <w:lastRenderedPageBreak/>
        <w:t>structured in the form of a network, people become the bottlenecks for Thien Long's development to rejuvenate from product to function (Tu, 2022).</w:t>
      </w:r>
    </w:p>
    <w:p w14:paraId="09E26193" w14:textId="77777777" w:rsidR="0054545C" w:rsidRPr="00660493" w:rsidRDefault="0054545C" w:rsidP="00EA0354">
      <w:pPr>
        <w:spacing w:line="360" w:lineRule="auto"/>
        <w:jc w:val="both"/>
        <w:rPr>
          <w:rFonts w:ascii="Times New Roman" w:eastAsia="Arial" w:hAnsi="Times New Roman" w:cs="Times New Roman"/>
          <w:sz w:val="24"/>
          <w:szCs w:val="24"/>
        </w:rPr>
      </w:pPr>
    </w:p>
    <w:p w14:paraId="4CC60B5C" w14:textId="77777777" w:rsidR="0054545C" w:rsidRPr="00660493" w:rsidRDefault="00000000" w:rsidP="00EA0354">
      <w:pPr>
        <w:pStyle w:val="Heading2"/>
        <w:numPr>
          <w:ilvl w:val="0"/>
          <w:numId w:val="15"/>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Market Overview</w:t>
      </w:r>
    </w:p>
    <w:p w14:paraId="64AEA2C9"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Since the first Thien Long "Made in Vietnam" ballpoint pen was made more than 40 years ago, the Vietnamese stationery market has always been noted as still very attractive. There have been more than 2,780 large and small enterprises registered to produce and trade stationery in Ho Chi Minh City. In this dynamic sector, both domestic and foreign brands have emerged, including Thien Long, Deli, Hong Ha, and others. The Vietnamese stationery and supply market was valued at US$381.7 million in 2020 and with a CAGR of 6.2%, this figure is forecast to continue to reach US$522.4 million by 2027. This growth is a combination of factors such as the entry of many small and medium-sized companies into the domestic market, as well as the consistently growing demand in the school segment. However, the implementation of smart classrooms in the education industry could lead to a shift in consumption from traditional stationery towards environmentally friendly technical products. </w:t>
      </w:r>
    </w:p>
    <w:p w14:paraId="4D2F75A0" w14:textId="77777777" w:rsidR="0054545C" w:rsidRPr="00660493" w:rsidRDefault="00000000" w:rsidP="00EA0354">
      <w:pPr>
        <w:pStyle w:val="Heading1"/>
        <w:numPr>
          <w:ilvl w:val="0"/>
          <w:numId w:val="1"/>
        </w:numPr>
        <w:spacing w:before="0" w:line="360" w:lineRule="auto"/>
        <w:jc w:val="both"/>
        <w:rPr>
          <w:rFonts w:ascii="Times New Roman" w:eastAsia="Arial" w:hAnsi="Times New Roman" w:cs="Times New Roman"/>
          <w:b/>
          <w:bCs/>
          <w:sz w:val="24"/>
          <w:szCs w:val="24"/>
        </w:rPr>
      </w:pPr>
      <w:r w:rsidRPr="00660493">
        <w:rPr>
          <w:rFonts w:ascii="Times New Roman" w:eastAsia="Arial" w:hAnsi="Times New Roman" w:cs="Times New Roman"/>
          <w:b/>
          <w:bCs/>
          <w:sz w:val="24"/>
          <w:szCs w:val="24"/>
        </w:rPr>
        <w:t>Data and Methodology</w:t>
      </w:r>
    </w:p>
    <w:p w14:paraId="30C05065" w14:textId="77777777" w:rsidR="0054545C" w:rsidRPr="00660493" w:rsidRDefault="00000000" w:rsidP="00EA0354">
      <w:pPr>
        <w:pStyle w:val="Heading2"/>
        <w:numPr>
          <w:ilvl w:val="0"/>
          <w:numId w:val="4"/>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Data selection</w:t>
      </w:r>
    </w:p>
    <w:p w14:paraId="5CD9014A" w14:textId="3FF61FD2"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The report </w:t>
      </w:r>
      <w:r w:rsidRPr="00660493">
        <w:rPr>
          <w:rFonts w:ascii="Times New Roman" w:eastAsia="Arial" w:hAnsi="Times New Roman" w:cs="Times New Roman"/>
          <w:bCs/>
          <w:sz w:val="24"/>
          <w:szCs w:val="24"/>
        </w:rPr>
        <w:t>accesses T</w:t>
      </w:r>
      <w:r w:rsidRPr="00660493">
        <w:rPr>
          <w:rFonts w:ascii="Times New Roman" w:eastAsia="Arial" w:hAnsi="Times New Roman" w:cs="Times New Roman"/>
          <w:sz w:val="24"/>
          <w:szCs w:val="24"/>
        </w:rPr>
        <w:t xml:space="preserve">LG through </w:t>
      </w:r>
      <w:r w:rsidR="00A42ADC" w:rsidRPr="00660493">
        <w:rPr>
          <w:rFonts w:ascii="Times New Roman" w:eastAsia="Arial" w:hAnsi="Times New Roman" w:cs="Times New Roman"/>
          <w:sz w:val="24"/>
          <w:szCs w:val="24"/>
        </w:rPr>
        <w:t>primary</w:t>
      </w:r>
      <w:r w:rsidRPr="00660493">
        <w:rPr>
          <w:rFonts w:ascii="Times New Roman" w:eastAsia="Arial" w:hAnsi="Times New Roman" w:cs="Times New Roman"/>
          <w:sz w:val="24"/>
          <w:szCs w:val="24"/>
        </w:rPr>
        <w:t xml:space="preserve"> and secondary data. The former, including historical data (financial statements, stock prices) and operating plan (Historical annual report), is collected from the company's official website and some popular websites like </w:t>
      </w:r>
      <w:proofErr w:type="spellStart"/>
      <w:r w:rsidRPr="00660493">
        <w:rPr>
          <w:rFonts w:ascii="Times New Roman" w:eastAsia="Arial" w:hAnsi="Times New Roman" w:cs="Times New Roman"/>
          <w:sz w:val="24"/>
          <w:szCs w:val="24"/>
        </w:rPr>
        <w:t>CafeF</w:t>
      </w:r>
      <w:proofErr w:type="spellEnd"/>
      <w:r w:rsidRPr="00660493">
        <w:rPr>
          <w:rFonts w:ascii="Times New Roman" w:eastAsia="Arial" w:hAnsi="Times New Roman" w:cs="Times New Roman"/>
          <w:sz w:val="24"/>
          <w:szCs w:val="24"/>
        </w:rPr>
        <w:t xml:space="preserve">, </w:t>
      </w:r>
      <w:proofErr w:type="spellStart"/>
      <w:r w:rsidRPr="00660493">
        <w:rPr>
          <w:rFonts w:ascii="Times New Roman" w:eastAsia="Arial" w:hAnsi="Times New Roman" w:cs="Times New Roman"/>
          <w:sz w:val="24"/>
          <w:szCs w:val="24"/>
        </w:rPr>
        <w:t>Vietstock</w:t>
      </w:r>
      <w:proofErr w:type="spellEnd"/>
      <w:r w:rsidRPr="00660493">
        <w:rPr>
          <w:rFonts w:ascii="Times New Roman" w:eastAsia="Arial" w:hAnsi="Times New Roman" w:cs="Times New Roman"/>
          <w:sz w:val="24"/>
          <w:szCs w:val="24"/>
        </w:rPr>
        <w:t xml:space="preserve">, etc. The latter is generated via financial websites like World Bank, </w:t>
      </w:r>
      <w:proofErr w:type="spellStart"/>
      <w:r w:rsidRPr="00660493">
        <w:rPr>
          <w:rFonts w:ascii="Times New Roman" w:eastAsia="Arial" w:hAnsi="Times New Roman" w:cs="Times New Roman"/>
          <w:sz w:val="24"/>
          <w:szCs w:val="24"/>
        </w:rPr>
        <w:t>Vietnambiz</w:t>
      </w:r>
      <w:proofErr w:type="spellEnd"/>
      <w:r w:rsidRPr="00660493">
        <w:rPr>
          <w:rFonts w:ascii="Times New Roman" w:eastAsia="Arial" w:hAnsi="Times New Roman" w:cs="Times New Roman"/>
          <w:sz w:val="24"/>
          <w:szCs w:val="24"/>
        </w:rPr>
        <w:t xml:space="preserve"> and competitors’ information, consisting of market data (beta, risk free rate, inflation rate) and news related to the stationery industry,</w:t>
      </w:r>
    </w:p>
    <w:p w14:paraId="0C13627B" w14:textId="77777777" w:rsidR="0054545C" w:rsidRPr="00660493" w:rsidRDefault="00000000" w:rsidP="00EA0354">
      <w:pPr>
        <w:pStyle w:val="Heading2"/>
        <w:numPr>
          <w:ilvl w:val="0"/>
          <w:numId w:val="4"/>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Data characteristics</w:t>
      </w:r>
    </w:p>
    <w:p w14:paraId="5EB5C00E"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Operating results of TLG are estimated based on the historical data of revenue (oversea and domestic markets) and COGS (cost of returning goods, discount), inferring gross profit and EBIT. Operating cost and non-operating cost are also collected to assess business </w:t>
      </w:r>
      <w:proofErr w:type="gramStart"/>
      <w:r w:rsidRPr="00660493">
        <w:rPr>
          <w:rFonts w:ascii="Times New Roman" w:eastAsia="Arial" w:hAnsi="Times New Roman" w:cs="Times New Roman"/>
          <w:sz w:val="24"/>
          <w:szCs w:val="24"/>
        </w:rPr>
        <w:t>risk</w:t>
      </w:r>
      <w:proofErr w:type="gramEnd"/>
      <w:r w:rsidRPr="00660493">
        <w:rPr>
          <w:rFonts w:ascii="Times New Roman" w:eastAsia="Arial" w:hAnsi="Times New Roman" w:cs="Times New Roman"/>
          <w:sz w:val="24"/>
          <w:szCs w:val="24"/>
        </w:rPr>
        <w:t xml:space="preserve"> linked to financial leverage and cost management. To a stationery company like Thien Long, managing inventories is vital because it shows the initial cost such as shipping and purchasing. Tangible and intangible assets depict TLG’s depreciation and other problems related to intellectual property rights. Due to </w:t>
      </w:r>
      <w:r w:rsidRPr="00660493">
        <w:rPr>
          <w:rFonts w:ascii="Times New Roman" w:eastAsia="Arial" w:hAnsi="Times New Roman" w:cs="Times New Roman"/>
          <w:sz w:val="24"/>
          <w:szCs w:val="24"/>
        </w:rPr>
        <w:lastRenderedPageBreak/>
        <w:t>the outbreak of Covid-19 pandemic, maturity investment like time deposit supports us to analyze the asset allocation trend and the efficiency of this trend. Similarly, the equity structure plays an important role in calculating WACC and conducting some forecasting methods used in this report.</w:t>
      </w:r>
    </w:p>
    <w:p w14:paraId="7D95BBD7" w14:textId="77777777" w:rsidR="0054545C" w:rsidRPr="00660493" w:rsidRDefault="00000000" w:rsidP="00EA0354">
      <w:pPr>
        <w:pStyle w:val="Heading2"/>
        <w:numPr>
          <w:ilvl w:val="0"/>
          <w:numId w:val="4"/>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Methodology</w:t>
      </w:r>
    </w:p>
    <w:p w14:paraId="74541060" w14:textId="77777777" w:rsidR="0054545C" w:rsidRPr="00660493" w:rsidRDefault="00000000" w:rsidP="00EA0354">
      <w:pPr>
        <w:pStyle w:val="Heading3"/>
        <w:numPr>
          <w:ilvl w:val="0"/>
          <w:numId w:val="7"/>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Financial ratio</w:t>
      </w:r>
    </w:p>
    <w:p w14:paraId="58053B05" w14:textId="77777777" w:rsidR="0054545C" w:rsidRPr="00660493" w:rsidRDefault="00000000" w:rsidP="00EA0354">
      <w:pPr>
        <w:spacing w:after="280" w:line="360" w:lineRule="auto"/>
        <w:ind w:firstLine="36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Financial ratio analysis depicts TLG’s management in their operating and financial activities. Eight ratios, which are listed in the table below, are calculated based on TLG’s financial data from 2018 to 2022. These estimations help to analyze business capability of controlling liquidity, leverage level, profitability and market value, when comparing with its competitors and industry benchmark. </w:t>
      </w:r>
    </w:p>
    <w:tbl>
      <w:tblPr>
        <w:tblStyle w:val="a0"/>
        <w:tblW w:w="9340" w:type="dxa"/>
        <w:tblLayout w:type="fixed"/>
        <w:tblLook w:val="0400" w:firstRow="0" w:lastRow="0" w:firstColumn="0" w:lastColumn="0" w:noHBand="0" w:noVBand="1"/>
      </w:tblPr>
      <w:tblGrid>
        <w:gridCol w:w="2302"/>
        <w:gridCol w:w="7038"/>
      </w:tblGrid>
      <w:tr w:rsidR="0054545C" w:rsidRPr="00660493" w14:paraId="738A7A5F" w14:textId="77777777">
        <w:trPr>
          <w:trHeight w:val="575"/>
        </w:trPr>
        <w:tc>
          <w:tcPr>
            <w:tcW w:w="2302" w:type="dxa"/>
            <w:tcBorders>
              <w:top w:val="single" w:sz="8" w:space="0" w:color="000000"/>
              <w:left w:val="single" w:sz="8" w:space="0" w:color="000000"/>
              <w:bottom w:val="single" w:sz="8" w:space="0" w:color="000000"/>
              <w:right w:val="single" w:sz="8" w:space="0" w:color="000000"/>
            </w:tcBorders>
            <w:shd w:val="clear" w:color="auto" w:fill="2E74B5"/>
            <w:tcMar>
              <w:top w:w="100" w:type="dxa"/>
              <w:left w:w="100" w:type="dxa"/>
              <w:bottom w:w="100" w:type="dxa"/>
              <w:right w:w="100" w:type="dxa"/>
            </w:tcMar>
          </w:tcPr>
          <w:p w14:paraId="5BB60A4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FFFFFF"/>
                <w:sz w:val="24"/>
                <w:szCs w:val="24"/>
              </w:rPr>
              <w:t>Ratio</w:t>
            </w:r>
          </w:p>
        </w:tc>
        <w:tc>
          <w:tcPr>
            <w:tcW w:w="7038" w:type="dxa"/>
            <w:tcBorders>
              <w:top w:val="single" w:sz="8" w:space="0" w:color="000000"/>
              <w:left w:val="single" w:sz="8" w:space="0" w:color="000000"/>
              <w:bottom w:val="single" w:sz="8" w:space="0" w:color="000000"/>
              <w:right w:val="single" w:sz="8" w:space="0" w:color="000000"/>
            </w:tcBorders>
            <w:shd w:val="clear" w:color="auto" w:fill="2E74B5"/>
            <w:tcMar>
              <w:top w:w="100" w:type="dxa"/>
              <w:left w:w="100" w:type="dxa"/>
              <w:bottom w:w="100" w:type="dxa"/>
              <w:right w:w="100" w:type="dxa"/>
            </w:tcMar>
          </w:tcPr>
          <w:p w14:paraId="71B623D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FFFFFF"/>
                <w:sz w:val="24"/>
                <w:szCs w:val="24"/>
              </w:rPr>
              <w:t>Description</w:t>
            </w:r>
          </w:p>
        </w:tc>
      </w:tr>
      <w:tr w:rsidR="0054545C" w:rsidRPr="00660493" w14:paraId="784259EA" w14:textId="77777777">
        <w:trPr>
          <w:trHeight w:val="575"/>
        </w:trPr>
        <w:tc>
          <w:tcPr>
            <w:tcW w:w="9340" w:type="dxa"/>
            <w:gridSpan w:val="2"/>
            <w:tcBorders>
              <w:top w:val="single" w:sz="8" w:space="0" w:color="000000"/>
              <w:left w:val="single" w:sz="8" w:space="0" w:color="000000"/>
              <w:bottom w:val="single" w:sz="8" w:space="0" w:color="000000"/>
              <w:right w:val="single" w:sz="8" w:space="0" w:color="000000"/>
            </w:tcBorders>
            <w:shd w:val="clear" w:color="auto" w:fill="2E74B5"/>
            <w:tcMar>
              <w:top w:w="100" w:type="dxa"/>
              <w:left w:w="100" w:type="dxa"/>
              <w:bottom w:w="100" w:type="dxa"/>
              <w:right w:w="100" w:type="dxa"/>
            </w:tcMar>
          </w:tcPr>
          <w:p w14:paraId="22858B6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FFFFFF"/>
                <w:sz w:val="24"/>
                <w:szCs w:val="24"/>
              </w:rPr>
              <w:t>Liquidity</w:t>
            </w:r>
          </w:p>
        </w:tc>
      </w:tr>
      <w:tr w:rsidR="0054545C" w:rsidRPr="00660493" w14:paraId="50CBA3D7" w14:textId="77777777">
        <w:trPr>
          <w:trHeight w:val="1655"/>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0623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Current ratio</w:t>
            </w:r>
          </w:p>
        </w:tc>
        <w:tc>
          <w:tcPr>
            <w:tcW w:w="7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59E4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Current ratio measures a firm's capability of paying liabilities in the short-term periods (below 1 year). In detail, it shows how effectively a business can use current assets to pay off its current liabilities like short-term debts or/and other payables. </w:t>
            </w:r>
          </w:p>
          <w:p w14:paraId="45D67EC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w:t>
            </w:r>
          </w:p>
        </w:tc>
      </w:tr>
      <w:tr w:rsidR="0054545C" w:rsidRPr="00660493" w14:paraId="322F9BF6" w14:textId="77777777">
        <w:trPr>
          <w:trHeight w:val="2015"/>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9446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Quick ratio</w:t>
            </w:r>
          </w:p>
        </w:tc>
        <w:tc>
          <w:tcPr>
            <w:tcW w:w="7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0E57A" w14:textId="717914D3"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xml:space="preserve">This ratio has a similar function </w:t>
            </w:r>
            <w:r w:rsidR="00A42ADC" w:rsidRPr="00660493">
              <w:rPr>
                <w:rFonts w:ascii="Times New Roman" w:eastAsia="Arial" w:hAnsi="Times New Roman" w:cs="Times New Roman"/>
                <w:color w:val="000000"/>
                <w:sz w:val="24"/>
                <w:szCs w:val="24"/>
              </w:rPr>
              <w:t>to</w:t>
            </w:r>
            <w:r w:rsidRPr="00660493">
              <w:rPr>
                <w:rFonts w:ascii="Times New Roman" w:eastAsia="Arial" w:hAnsi="Times New Roman" w:cs="Times New Roman"/>
                <w:color w:val="000000"/>
                <w:sz w:val="24"/>
                <w:szCs w:val="24"/>
              </w:rPr>
              <w:t xml:space="preserve"> current assets but without the effect of inventories and prepaid expense accounts. Because it may take more time to convert inventories and prepaid expenses are not used to </w:t>
            </w:r>
            <w:r w:rsidR="00A42ADC" w:rsidRPr="00660493">
              <w:rPr>
                <w:rFonts w:ascii="Times New Roman" w:eastAsia="Arial" w:hAnsi="Times New Roman" w:cs="Times New Roman"/>
                <w:color w:val="000000"/>
                <w:sz w:val="24"/>
                <w:szCs w:val="24"/>
              </w:rPr>
              <w:t>pay for</w:t>
            </w:r>
            <w:r w:rsidRPr="00660493">
              <w:rPr>
                <w:rFonts w:ascii="Times New Roman" w:eastAsia="Arial" w:hAnsi="Times New Roman" w:cs="Times New Roman"/>
                <w:color w:val="000000"/>
                <w:sz w:val="24"/>
                <w:szCs w:val="24"/>
              </w:rPr>
              <w:t xml:space="preserve"> current liabilities. In general, a quick ratio seems to be a more conservative method to gauge liquidity. </w:t>
            </w:r>
          </w:p>
          <w:p w14:paraId="4D90418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w:t>
            </w:r>
          </w:p>
        </w:tc>
      </w:tr>
      <w:tr w:rsidR="0054545C" w:rsidRPr="00660493" w14:paraId="2209A2F3" w14:textId="77777777">
        <w:trPr>
          <w:trHeight w:val="1455"/>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EE8C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Cash conversion cycle: </w:t>
            </w:r>
          </w:p>
          <w:p w14:paraId="0AB443C1" w14:textId="77777777" w:rsidR="0054545C" w:rsidRPr="00660493" w:rsidRDefault="00000000" w:rsidP="00EA0354">
            <w:pPr>
              <w:spacing w:after="0" w:line="360" w:lineRule="auto"/>
              <w:ind w:left="720"/>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 </w:t>
            </w:r>
          </w:p>
        </w:tc>
        <w:tc>
          <w:tcPr>
            <w:tcW w:w="7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7FE75" w14:textId="7FFF70A5"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xml:space="preserve">The ratio shows the </w:t>
            </w:r>
            <w:r w:rsidR="00A42ADC" w:rsidRPr="00660493">
              <w:rPr>
                <w:rFonts w:ascii="Times New Roman" w:eastAsia="Arial" w:hAnsi="Times New Roman" w:cs="Times New Roman"/>
                <w:color w:val="000000"/>
                <w:sz w:val="24"/>
                <w:szCs w:val="24"/>
              </w:rPr>
              <w:t>amount of time needed</w:t>
            </w:r>
            <w:r w:rsidRPr="00660493">
              <w:rPr>
                <w:rFonts w:ascii="Times New Roman" w:eastAsia="Arial" w:hAnsi="Times New Roman" w:cs="Times New Roman"/>
                <w:color w:val="000000"/>
                <w:sz w:val="24"/>
                <w:szCs w:val="24"/>
              </w:rPr>
              <w:t xml:space="preserve"> (measured in days) used to convert cash spent on inventories into cash received when selling products. </w:t>
            </w:r>
          </w:p>
        </w:tc>
      </w:tr>
      <w:tr w:rsidR="0054545C" w:rsidRPr="00660493" w14:paraId="66B593F9" w14:textId="77777777">
        <w:trPr>
          <w:trHeight w:val="1395"/>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D12F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lastRenderedPageBreak/>
              <w:t>Operating cash flow ratio</w:t>
            </w:r>
          </w:p>
          <w:p w14:paraId="7E8CE9D6" w14:textId="77777777" w:rsidR="0054545C" w:rsidRPr="00660493" w:rsidRDefault="00000000" w:rsidP="00EA0354">
            <w:pPr>
              <w:spacing w:after="280" w:line="360" w:lineRule="auto"/>
              <w:ind w:left="720"/>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 </w:t>
            </w:r>
          </w:p>
        </w:tc>
        <w:tc>
          <w:tcPr>
            <w:tcW w:w="7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3B6B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A ratio evaluates business short-term risk of liquidity when comparing cash flow from operating activities and its current liabilities. </w:t>
            </w:r>
          </w:p>
        </w:tc>
      </w:tr>
      <w:tr w:rsidR="0054545C" w:rsidRPr="00660493" w14:paraId="4F70CD97" w14:textId="77777777">
        <w:trPr>
          <w:trHeight w:val="815"/>
        </w:trPr>
        <w:tc>
          <w:tcPr>
            <w:tcW w:w="9340" w:type="dxa"/>
            <w:gridSpan w:val="2"/>
            <w:tcBorders>
              <w:top w:val="single" w:sz="8" w:space="0" w:color="000000"/>
              <w:left w:val="single" w:sz="8" w:space="0" w:color="000000"/>
              <w:bottom w:val="single" w:sz="8" w:space="0" w:color="000000"/>
              <w:right w:val="single" w:sz="8" w:space="0" w:color="000000"/>
            </w:tcBorders>
            <w:shd w:val="clear" w:color="auto" w:fill="2E74B5"/>
            <w:tcMar>
              <w:top w:w="100" w:type="dxa"/>
              <w:left w:w="100" w:type="dxa"/>
              <w:bottom w:w="100" w:type="dxa"/>
              <w:right w:w="100" w:type="dxa"/>
            </w:tcMar>
          </w:tcPr>
          <w:p w14:paraId="5EFA9D48" w14:textId="77777777" w:rsidR="0054545C" w:rsidRPr="00660493" w:rsidRDefault="00000000" w:rsidP="00EA0354">
            <w:pPr>
              <w:spacing w:after="12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FFFFFF"/>
                <w:sz w:val="24"/>
                <w:szCs w:val="24"/>
              </w:rPr>
              <w:t>Solvency Ratios</w:t>
            </w:r>
          </w:p>
        </w:tc>
      </w:tr>
      <w:tr w:rsidR="0054545C" w:rsidRPr="00660493" w14:paraId="1B9A1966" w14:textId="77777777">
        <w:trPr>
          <w:trHeight w:val="1800"/>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BEC0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Debt to equity ratio: </w:t>
            </w:r>
          </w:p>
          <w:p w14:paraId="53EB928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            </w:t>
            </w:r>
          </w:p>
        </w:tc>
        <w:tc>
          <w:tcPr>
            <w:tcW w:w="7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11CC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D/E ratio used to measure business financial leverage, which infers TLG’s effectiveness in capital management. The higher ratio warns a firm of the higher possibility of defaulting. </w:t>
            </w:r>
          </w:p>
        </w:tc>
      </w:tr>
      <w:tr w:rsidR="0054545C" w:rsidRPr="00660493" w14:paraId="616049DA" w14:textId="77777777">
        <w:trPr>
          <w:trHeight w:val="1395"/>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D116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Times interest earned ratio (interest coverage ratio)</w:t>
            </w:r>
          </w:p>
          <w:p w14:paraId="3320A056" w14:textId="77777777" w:rsidR="0054545C" w:rsidRPr="00660493" w:rsidRDefault="00000000" w:rsidP="00EA0354">
            <w:pPr>
              <w:spacing w:after="0" w:line="360" w:lineRule="auto"/>
              <w:ind w:left="720"/>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 </w:t>
            </w:r>
          </w:p>
        </w:tc>
        <w:tc>
          <w:tcPr>
            <w:tcW w:w="7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3E4E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The capability of covering debts or/and interest of debts. The low ratio indicates a firm’s poor use of resources in managing debts. </w:t>
            </w:r>
          </w:p>
        </w:tc>
      </w:tr>
      <w:tr w:rsidR="0054545C" w:rsidRPr="00660493" w14:paraId="41298688" w14:textId="77777777">
        <w:trPr>
          <w:trHeight w:val="815"/>
        </w:trPr>
        <w:tc>
          <w:tcPr>
            <w:tcW w:w="9340" w:type="dxa"/>
            <w:gridSpan w:val="2"/>
            <w:tcBorders>
              <w:top w:val="single" w:sz="8" w:space="0" w:color="000000"/>
              <w:left w:val="single" w:sz="8" w:space="0" w:color="000000"/>
              <w:bottom w:val="single" w:sz="8" w:space="0" w:color="000000"/>
              <w:right w:val="single" w:sz="8" w:space="0" w:color="000000"/>
            </w:tcBorders>
            <w:shd w:val="clear" w:color="auto" w:fill="2E74B5"/>
            <w:tcMar>
              <w:top w:w="100" w:type="dxa"/>
              <w:left w:w="100" w:type="dxa"/>
              <w:bottom w:w="100" w:type="dxa"/>
              <w:right w:w="100" w:type="dxa"/>
            </w:tcMar>
          </w:tcPr>
          <w:p w14:paraId="45FE204A" w14:textId="77777777" w:rsidR="0054545C" w:rsidRPr="00660493" w:rsidRDefault="00000000" w:rsidP="00EA0354">
            <w:pPr>
              <w:spacing w:after="12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FFFFFF"/>
                <w:sz w:val="24"/>
                <w:szCs w:val="24"/>
              </w:rPr>
              <w:t>Market Value Ratios</w:t>
            </w:r>
          </w:p>
        </w:tc>
      </w:tr>
      <w:tr w:rsidR="0054545C" w:rsidRPr="00660493" w14:paraId="52AE5A6B" w14:textId="77777777">
        <w:trPr>
          <w:trHeight w:val="1350"/>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AEC7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Price-earnings ratio: </w:t>
            </w:r>
          </w:p>
        </w:tc>
        <w:tc>
          <w:tcPr>
            <w:tcW w:w="7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E8200" w14:textId="4F54A6A8"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xml:space="preserve">This ratio helps to estimate a company's value when considering the link between its market price and </w:t>
            </w:r>
            <w:r w:rsidR="00A42ADC" w:rsidRPr="00660493">
              <w:rPr>
                <w:rFonts w:ascii="Times New Roman" w:eastAsia="Arial" w:hAnsi="Times New Roman" w:cs="Times New Roman"/>
                <w:color w:val="000000"/>
                <w:sz w:val="24"/>
                <w:szCs w:val="24"/>
              </w:rPr>
              <w:t>earnings</w:t>
            </w:r>
            <w:r w:rsidRPr="00660493">
              <w:rPr>
                <w:rFonts w:ascii="Times New Roman" w:eastAsia="Arial" w:hAnsi="Times New Roman" w:cs="Times New Roman"/>
                <w:color w:val="000000"/>
                <w:sz w:val="24"/>
                <w:szCs w:val="24"/>
              </w:rPr>
              <w:t xml:space="preserve"> per share.</w:t>
            </w:r>
          </w:p>
          <w:p w14:paraId="48FDFBB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w:t>
            </w:r>
          </w:p>
        </w:tc>
      </w:tr>
      <w:tr w:rsidR="0054545C" w:rsidRPr="00660493" w14:paraId="0ADBB583" w14:textId="77777777">
        <w:trPr>
          <w:trHeight w:val="723"/>
        </w:trPr>
        <w:tc>
          <w:tcPr>
            <w:tcW w:w="9340" w:type="dxa"/>
            <w:gridSpan w:val="2"/>
            <w:tcBorders>
              <w:top w:val="single" w:sz="8" w:space="0" w:color="000000"/>
              <w:left w:val="single" w:sz="8" w:space="0" w:color="000000"/>
              <w:bottom w:val="single" w:sz="8" w:space="0" w:color="000000"/>
              <w:right w:val="single" w:sz="8" w:space="0" w:color="000000"/>
            </w:tcBorders>
            <w:shd w:val="clear" w:color="auto" w:fill="2E74B5"/>
            <w:tcMar>
              <w:top w:w="100" w:type="dxa"/>
              <w:left w:w="100" w:type="dxa"/>
              <w:bottom w:w="100" w:type="dxa"/>
              <w:right w:w="100" w:type="dxa"/>
            </w:tcMar>
          </w:tcPr>
          <w:p w14:paraId="05CFAAE5" w14:textId="77777777" w:rsidR="0054545C" w:rsidRPr="00660493" w:rsidRDefault="00000000" w:rsidP="00EA0354">
            <w:pPr>
              <w:spacing w:after="12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FFFFFF"/>
                <w:sz w:val="24"/>
                <w:szCs w:val="24"/>
              </w:rPr>
              <w:t>Profitability ratios</w:t>
            </w:r>
          </w:p>
        </w:tc>
      </w:tr>
      <w:tr w:rsidR="0054545C" w:rsidRPr="00660493" w14:paraId="0F5AF683" w14:textId="77777777">
        <w:trPr>
          <w:trHeight w:val="1605"/>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F1D6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70C0"/>
                <w:sz w:val="24"/>
                <w:szCs w:val="24"/>
              </w:rPr>
              <w:t>Gross profit margin</w:t>
            </w:r>
          </w:p>
        </w:tc>
        <w:tc>
          <w:tcPr>
            <w:tcW w:w="7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80F2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The metric shows a company's profit after eliminating the effect of COGS. The high ratio is desirable and vice versa. </w:t>
            </w:r>
          </w:p>
        </w:tc>
      </w:tr>
    </w:tbl>
    <w:p w14:paraId="2FAFA5CE" w14:textId="77777777" w:rsidR="0054545C" w:rsidRPr="00660493" w:rsidRDefault="0054545C" w:rsidP="00EA0354">
      <w:pPr>
        <w:spacing w:line="360" w:lineRule="auto"/>
        <w:jc w:val="both"/>
        <w:rPr>
          <w:rFonts w:ascii="Times New Roman" w:eastAsia="Arial" w:hAnsi="Times New Roman" w:cs="Times New Roman"/>
          <w:sz w:val="24"/>
          <w:szCs w:val="24"/>
        </w:rPr>
      </w:pPr>
    </w:p>
    <w:p w14:paraId="00789BBE" w14:textId="77777777" w:rsidR="0054545C" w:rsidRPr="00660493" w:rsidRDefault="00000000" w:rsidP="00EA0354">
      <w:pPr>
        <w:pStyle w:val="Heading3"/>
        <w:numPr>
          <w:ilvl w:val="0"/>
          <w:numId w:val="7"/>
        </w:numPr>
        <w:spacing w:before="0" w:line="360" w:lineRule="auto"/>
        <w:jc w:val="both"/>
        <w:rPr>
          <w:rFonts w:ascii="Times New Roman" w:eastAsia="Arial" w:hAnsi="Times New Roman" w:cs="Times New Roman"/>
          <w:color w:val="2F5496" w:themeColor="accent1" w:themeShade="BF"/>
        </w:rPr>
      </w:pPr>
      <w:r w:rsidRPr="00660493">
        <w:rPr>
          <w:rFonts w:ascii="Times New Roman" w:eastAsia="Arial" w:hAnsi="Times New Roman" w:cs="Times New Roman"/>
          <w:color w:val="2F5496" w:themeColor="accent1" w:themeShade="BF"/>
        </w:rPr>
        <w:lastRenderedPageBreak/>
        <w:t>Valuation method</w:t>
      </w:r>
    </w:p>
    <w:p w14:paraId="2DFB7B93"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noProof/>
          <w:sz w:val="24"/>
          <w:szCs w:val="24"/>
        </w:rPr>
        <w:drawing>
          <wp:inline distT="0" distB="0" distL="0" distR="0" wp14:anchorId="4ABDCB81" wp14:editId="6E34E382">
            <wp:extent cx="5837555" cy="4820920"/>
            <wp:effectExtent l="0" t="0" r="0" b="0"/>
            <wp:docPr id="2131251264" name="image19.png"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diagram of a flowchart&#10;&#10;Description automatically generated"/>
                    <pic:cNvPicPr preferRelativeResize="0"/>
                  </pic:nvPicPr>
                  <pic:blipFill>
                    <a:blip r:embed="rId9"/>
                    <a:srcRect/>
                    <a:stretch>
                      <a:fillRect/>
                    </a:stretch>
                  </pic:blipFill>
                  <pic:spPr>
                    <a:xfrm>
                      <a:off x="0" y="0"/>
                      <a:ext cx="5837555" cy="4820920"/>
                    </a:xfrm>
                    <a:prstGeom prst="rect">
                      <a:avLst/>
                    </a:prstGeom>
                    <a:ln/>
                  </pic:spPr>
                </pic:pic>
              </a:graphicData>
            </a:graphic>
          </wp:inline>
        </w:drawing>
      </w:r>
    </w:p>
    <w:p w14:paraId="23C08F0C"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According to </w:t>
      </w:r>
      <w:proofErr w:type="spellStart"/>
      <w:r w:rsidRPr="00660493">
        <w:rPr>
          <w:rFonts w:ascii="Times New Roman" w:eastAsia="Arial" w:hAnsi="Times New Roman" w:cs="Times New Roman"/>
          <w:sz w:val="24"/>
          <w:szCs w:val="24"/>
        </w:rPr>
        <w:t>Wahlan</w:t>
      </w:r>
      <w:proofErr w:type="spellEnd"/>
      <w:r w:rsidRPr="00660493">
        <w:rPr>
          <w:rFonts w:ascii="Times New Roman" w:eastAsia="Arial" w:hAnsi="Times New Roman" w:cs="Times New Roman"/>
          <w:sz w:val="24"/>
          <w:szCs w:val="24"/>
        </w:rPr>
        <w:t xml:space="preserve"> et al. (2020), there are 3 common perspectives to investigate when evaluating a business. They are dividend-based, free cash flow based and earning-based valuation models which represent different perspectives such as distributed wealth, distributable wealth, and wealth creation respectively. All three valuation methods have their strengths and weaknesses. The valuation combines 3 different approaches and </w:t>
      </w:r>
      <w:proofErr w:type="gramStart"/>
      <w:r w:rsidRPr="00660493">
        <w:rPr>
          <w:rFonts w:ascii="Times New Roman" w:eastAsia="Arial" w:hAnsi="Times New Roman" w:cs="Times New Roman"/>
          <w:sz w:val="24"/>
          <w:szCs w:val="24"/>
        </w:rPr>
        <w:t>definitely covers</w:t>
      </w:r>
      <w:proofErr w:type="gramEnd"/>
      <w:r w:rsidRPr="00660493">
        <w:rPr>
          <w:rFonts w:ascii="Times New Roman" w:eastAsia="Arial" w:hAnsi="Times New Roman" w:cs="Times New Roman"/>
          <w:sz w:val="24"/>
          <w:szCs w:val="24"/>
        </w:rPr>
        <w:t xml:space="preserve"> all valuation flaws that each model carries. Fortunately, Thien Long Group has satisfied all criteria to be evaluated under 3 perspectives. </w:t>
      </w:r>
    </w:p>
    <w:p w14:paraId="2D3C79C4"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The value of TLG, </w:t>
      </w:r>
      <w:proofErr w:type="gramStart"/>
      <w:r w:rsidRPr="00660493">
        <w:rPr>
          <w:rFonts w:ascii="Times New Roman" w:eastAsia="Arial" w:hAnsi="Times New Roman" w:cs="Times New Roman"/>
          <w:sz w:val="24"/>
          <w:szCs w:val="24"/>
        </w:rPr>
        <w:t>in order to</w:t>
      </w:r>
      <w:proofErr w:type="gramEnd"/>
      <w:r w:rsidRPr="00660493">
        <w:rPr>
          <w:rFonts w:ascii="Times New Roman" w:eastAsia="Arial" w:hAnsi="Times New Roman" w:cs="Times New Roman"/>
          <w:sz w:val="24"/>
          <w:szCs w:val="24"/>
        </w:rPr>
        <w:t xml:space="preserve"> ensure its consistency as well as reliability over a certain span of scenarios, will accommodate all three basic valuation methods. Each method will be analyzed with specific techniques below:</w:t>
      </w:r>
    </w:p>
    <w:p w14:paraId="04183175"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lastRenderedPageBreak/>
        <w:t>FCF-Based Valuation Models:</w:t>
      </w:r>
    </w:p>
    <w:p w14:paraId="2F2DF7C9" w14:textId="77777777" w:rsidR="0054545C" w:rsidRPr="00660493" w:rsidRDefault="00000000" w:rsidP="00EA0354">
      <w:pPr>
        <w:numPr>
          <w:ilvl w:val="0"/>
          <w:numId w:val="16"/>
        </w:num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Discounted Cash Flow</w:t>
      </w:r>
    </w:p>
    <w:p w14:paraId="1187A48A" w14:textId="77777777" w:rsidR="0054545C" w:rsidRPr="00660493" w:rsidRDefault="00000000" w:rsidP="00EA0354">
      <w:pPr>
        <w:numPr>
          <w:ilvl w:val="0"/>
          <w:numId w:val="16"/>
        </w:num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Adjusted Present Value</w:t>
      </w:r>
    </w:p>
    <w:p w14:paraId="1BBFFB0B"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Earned-Based Valuation Models:</w:t>
      </w:r>
    </w:p>
    <w:p w14:paraId="2F0E99F8" w14:textId="77777777" w:rsidR="0054545C" w:rsidRPr="00660493" w:rsidRDefault="00000000" w:rsidP="00EA0354">
      <w:pPr>
        <w:numPr>
          <w:ilvl w:val="0"/>
          <w:numId w:val="18"/>
        </w:num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P/E Valuation</w:t>
      </w:r>
    </w:p>
    <w:p w14:paraId="5E358D6E"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Dividend-based Valuation Models:</w:t>
      </w:r>
    </w:p>
    <w:p w14:paraId="477F9E59" w14:textId="77777777" w:rsidR="0054545C" w:rsidRPr="00660493" w:rsidRDefault="00000000" w:rsidP="00EA0354">
      <w:pPr>
        <w:numPr>
          <w:ilvl w:val="0"/>
          <w:numId w:val="19"/>
        </w:num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Dividend Discount Models</w:t>
      </w:r>
    </w:p>
    <w:p w14:paraId="05EA955A"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Furthermore, we will perform a simple valuation of TLG from a market perspective through average industry number with Comparable Valuation using EV/EBITDA multiply and P/E ratios. </w:t>
      </w:r>
    </w:p>
    <w:p w14:paraId="13704915"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Out of the 4 valuation models we will use, FCF-Based Valuation Models will be our focus as this technique reflects true company characteristics and capabilities in profitability manufacturing.</w:t>
      </w:r>
    </w:p>
    <w:p w14:paraId="55B0649F" w14:textId="77777777" w:rsidR="0054545C" w:rsidRPr="00660493" w:rsidRDefault="00000000" w:rsidP="00EA0354">
      <w:pPr>
        <w:numPr>
          <w:ilvl w:val="0"/>
          <w:numId w:val="8"/>
        </w:numPr>
        <w:spacing w:line="360" w:lineRule="auto"/>
        <w:jc w:val="both"/>
        <w:rPr>
          <w:rFonts w:ascii="Times New Roman" w:eastAsia="Arial" w:hAnsi="Times New Roman" w:cs="Times New Roman"/>
          <w:b/>
          <w:sz w:val="24"/>
          <w:szCs w:val="24"/>
        </w:rPr>
      </w:pPr>
      <w:r w:rsidRPr="00660493">
        <w:rPr>
          <w:rFonts w:ascii="Times New Roman" w:eastAsia="Arial" w:hAnsi="Times New Roman" w:cs="Times New Roman"/>
          <w:b/>
          <w:sz w:val="24"/>
          <w:szCs w:val="24"/>
        </w:rPr>
        <w:t>Discounted Cash Flow (DCF)</w:t>
      </w:r>
    </w:p>
    <w:p w14:paraId="6B11183A" w14:textId="53BDCE49"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DCF is a method of considering the company's future free cash flow value then discount to present value using </w:t>
      </w:r>
      <w:r w:rsidR="00660493" w:rsidRPr="00660493">
        <w:rPr>
          <w:rFonts w:ascii="Times New Roman" w:eastAsia="Arial" w:hAnsi="Times New Roman" w:cs="Times New Roman"/>
          <w:sz w:val="24"/>
          <w:szCs w:val="24"/>
        </w:rPr>
        <w:t>a</w:t>
      </w:r>
      <w:r w:rsidRPr="00660493">
        <w:rPr>
          <w:rFonts w:ascii="Times New Roman" w:eastAsia="Arial" w:hAnsi="Times New Roman" w:cs="Times New Roman"/>
          <w:sz w:val="24"/>
          <w:szCs w:val="24"/>
        </w:rPr>
        <w:t xml:space="preserve"> suitable discount rate. DCF uses firm free cash flow projections to value the company's future cash </w:t>
      </w:r>
      <w:r w:rsidR="00660493" w:rsidRPr="00660493">
        <w:rPr>
          <w:rFonts w:ascii="Times New Roman" w:eastAsia="Arial" w:hAnsi="Times New Roman" w:cs="Times New Roman"/>
          <w:sz w:val="24"/>
          <w:szCs w:val="24"/>
        </w:rPr>
        <w:t>flow</w:t>
      </w:r>
      <w:r w:rsidRPr="00660493">
        <w:rPr>
          <w:rFonts w:ascii="Times New Roman" w:eastAsia="Arial" w:hAnsi="Times New Roman" w:cs="Times New Roman"/>
          <w:sz w:val="24"/>
          <w:szCs w:val="24"/>
        </w:rPr>
        <w:t xml:space="preserve"> while using a discount rate to arrive at </w:t>
      </w:r>
      <w:r w:rsidR="00660493" w:rsidRPr="00660493">
        <w:rPr>
          <w:rFonts w:ascii="Times New Roman" w:eastAsia="Arial" w:hAnsi="Times New Roman" w:cs="Times New Roman"/>
          <w:sz w:val="24"/>
          <w:szCs w:val="24"/>
        </w:rPr>
        <w:t>the firm’s</w:t>
      </w:r>
      <w:r w:rsidRPr="00660493">
        <w:rPr>
          <w:rFonts w:ascii="Times New Roman" w:eastAsia="Arial" w:hAnsi="Times New Roman" w:cs="Times New Roman"/>
          <w:sz w:val="24"/>
          <w:szCs w:val="24"/>
        </w:rPr>
        <w:t xml:space="preserve"> present value. The appropriate discount rate accommodates the suitable risk of the company and time value of money which account for both opportunities costs and inflation. </w:t>
      </w:r>
    </w:p>
    <w:p w14:paraId="09DB5B90"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This method is more than suitable to evaluate companies with sole business operations such as Thien Long. However, this valuation requires a significant amount of work and largely depends on the accuracy of cash flow projection as well as the discount rate used. </w:t>
      </w:r>
    </w:p>
    <w:p w14:paraId="3F546BC5" w14:textId="77777777" w:rsidR="0054545C" w:rsidRPr="00660493" w:rsidRDefault="00000000" w:rsidP="00EA0354">
      <w:pPr>
        <w:numPr>
          <w:ilvl w:val="0"/>
          <w:numId w:val="11"/>
        </w:numPr>
        <w:spacing w:line="360" w:lineRule="auto"/>
        <w:jc w:val="both"/>
        <w:rPr>
          <w:rFonts w:ascii="Times New Roman" w:eastAsia="Arial" w:hAnsi="Times New Roman" w:cs="Times New Roman"/>
          <w:b/>
          <w:sz w:val="24"/>
          <w:szCs w:val="24"/>
        </w:rPr>
      </w:pPr>
      <w:r w:rsidRPr="00660493">
        <w:rPr>
          <w:rFonts w:ascii="Times New Roman" w:eastAsia="Arial" w:hAnsi="Times New Roman" w:cs="Times New Roman"/>
          <w:b/>
          <w:sz w:val="24"/>
          <w:szCs w:val="24"/>
        </w:rPr>
        <w:t>Adjusted Present Value (APV)</w:t>
      </w:r>
    </w:p>
    <w:p w14:paraId="24B730D8" w14:textId="4935E82E"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APV is </w:t>
      </w:r>
      <w:proofErr w:type="gramStart"/>
      <w:r w:rsidRPr="00660493">
        <w:rPr>
          <w:rFonts w:ascii="Times New Roman" w:eastAsia="Arial" w:hAnsi="Times New Roman" w:cs="Times New Roman"/>
          <w:sz w:val="24"/>
          <w:szCs w:val="24"/>
        </w:rPr>
        <w:t>similar to</w:t>
      </w:r>
      <w:proofErr w:type="gramEnd"/>
      <w:r w:rsidRPr="00660493">
        <w:rPr>
          <w:rFonts w:ascii="Times New Roman" w:eastAsia="Arial" w:hAnsi="Times New Roman" w:cs="Times New Roman"/>
          <w:sz w:val="24"/>
          <w:szCs w:val="24"/>
        </w:rPr>
        <w:t xml:space="preserve"> DCF but still has distinct differences. APV still relies on firm free cash flow for valuation purposes. However, APV separates the firm value and the value of firm-financing actions such as tax-shield effect. This technique is useful when evaluating a firm which has both debt and equity as its financing structure. Although TLG does not carry enough debt. However, during our </w:t>
      </w:r>
      <w:r w:rsidRPr="00660493">
        <w:rPr>
          <w:rFonts w:ascii="Times New Roman" w:eastAsia="Arial" w:hAnsi="Times New Roman" w:cs="Times New Roman"/>
          <w:sz w:val="24"/>
          <w:szCs w:val="24"/>
        </w:rPr>
        <w:lastRenderedPageBreak/>
        <w:t xml:space="preserve">projections, we </w:t>
      </w:r>
      <w:r w:rsidR="00660493" w:rsidRPr="00660493">
        <w:rPr>
          <w:rFonts w:ascii="Times New Roman" w:eastAsia="Arial" w:hAnsi="Times New Roman" w:cs="Times New Roman"/>
          <w:sz w:val="24"/>
          <w:szCs w:val="24"/>
        </w:rPr>
        <w:t>assume</w:t>
      </w:r>
      <w:r w:rsidRPr="00660493">
        <w:rPr>
          <w:rFonts w:ascii="Times New Roman" w:eastAsia="Arial" w:hAnsi="Times New Roman" w:cs="Times New Roman"/>
          <w:sz w:val="24"/>
          <w:szCs w:val="24"/>
        </w:rPr>
        <w:t xml:space="preserve"> TLG will use low-cost debt as its financing source for future development and expansion. Thus, APV will prove critical in considering the firm’s futures values. </w:t>
      </w:r>
    </w:p>
    <w:p w14:paraId="22D9A4DD" w14:textId="77777777" w:rsidR="0054545C" w:rsidRPr="00660493" w:rsidRDefault="00000000" w:rsidP="00EA0354">
      <w:pPr>
        <w:numPr>
          <w:ilvl w:val="0"/>
          <w:numId w:val="13"/>
        </w:numPr>
        <w:spacing w:line="360" w:lineRule="auto"/>
        <w:jc w:val="both"/>
        <w:rPr>
          <w:rFonts w:ascii="Times New Roman" w:eastAsia="Arial" w:hAnsi="Times New Roman" w:cs="Times New Roman"/>
          <w:b/>
          <w:sz w:val="24"/>
          <w:szCs w:val="24"/>
        </w:rPr>
      </w:pPr>
      <w:r w:rsidRPr="00660493">
        <w:rPr>
          <w:rFonts w:ascii="Times New Roman" w:eastAsia="Arial" w:hAnsi="Times New Roman" w:cs="Times New Roman"/>
          <w:b/>
          <w:sz w:val="24"/>
          <w:szCs w:val="24"/>
        </w:rPr>
        <w:t>Dividend valuation method (DDM)</w:t>
      </w:r>
    </w:p>
    <w:p w14:paraId="12967653" w14:textId="51CE08DD"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DDM is a valuation method aimed at valuing a company based on its expected future dividend payout. Although the dividend payout </w:t>
      </w:r>
      <w:r w:rsidR="00660493" w:rsidRPr="00660493">
        <w:rPr>
          <w:rFonts w:ascii="Times New Roman" w:eastAsia="Arial" w:hAnsi="Times New Roman" w:cs="Times New Roman"/>
          <w:sz w:val="24"/>
          <w:szCs w:val="24"/>
        </w:rPr>
        <w:t>fluctuates over the</w:t>
      </w:r>
      <w:r w:rsidRPr="00660493">
        <w:rPr>
          <w:rFonts w:ascii="Times New Roman" w:eastAsia="Arial" w:hAnsi="Times New Roman" w:cs="Times New Roman"/>
          <w:sz w:val="24"/>
          <w:szCs w:val="24"/>
        </w:rPr>
        <w:t xml:space="preserve"> years and the payout decision rests in firm governing structure, the results from DDM method will have high margin of error and are prone to inaccuracy if the firm changes its dividend policy. However, based on the information that Thien Long Group has paid its dividend constantly during the period of 2018 and 2023. </w:t>
      </w:r>
      <w:r w:rsidR="00660493">
        <w:rPr>
          <w:rFonts w:ascii="Times New Roman" w:eastAsia="Arial" w:hAnsi="Times New Roman" w:cs="Times New Roman"/>
          <w:sz w:val="24"/>
          <w:szCs w:val="24"/>
        </w:rPr>
        <w:t>We</w:t>
      </w:r>
      <w:r w:rsidRPr="00660493">
        <w:rPr>
          <w:rFonts w:ascii="Times New Roman" w:eastAsia="Arial" w:hAnsi="Times New Roman" w:cs="Times New Roman"/>
          <w:sz w:val="24"/>
          <w:szCs w:val="24"/>
        </w:rPr>
        <w:t xml:space="preserve"> believe that this valuation will </w:t>
      </w:r>
      <w:r w:rsidR="00660493" w:rsidRPr="00660493">
        <w:rPr>
          <w:rFonts w:ascii="Times New Roman" w:eastAsia="Arial" w:hAnsi="Times New Roman" w:cs="Times New Roman"/>
          <w:sz w:val="24"/>
          <w:szCs w:val="24"/>
        </w:rPr>
        <w:t>make</w:t>
      </w:r>
      <w:r w:rsidRPr="00660493">
        <w:rPr>
          <w:rFonts w:ascii="Times New Roman" w:eastAsia="Arial" w:hAnsi="Times New Roman" w:cs="Times New Roman"/>
          <w:sz w:val="24"/>
          <w:szCs w:val="24"/>
        </w:rPr>
        <w:t xml:space="preserve"> a significant contribution to overall firm valuation. </w:t>
      </w:r>
    </w:p>
    <w:p w14:paraId="3145FEEF"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b/>
          <w:sz w:val="24"/>
          <w:szCs w:val="24"/>
        </w:rPr>
        <w:t>4. P/E Ratio</w:t>
      </w:r>
    </w:p>
    <w:p w14:paraId="6551D3D0"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P/E valuation provides a brief estimation of the company’s value regarding its share price and earnings from operation activities. Based on the company's business plan and historical value, we obtain the corresponding P/E ratios for estimation. However, since P/E valuation only considers the company’s revenue and EPS, which fluctuate relatively over the periods, we then take the average calculated price to neutral the volatility.</w:t>
      </w:r>
    </w:p>
    <w:p w14:paraId="0F37CD39"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Although P/E is not a reliable indicator of company value. However, we decided to use this valuation and assigned a little weight to increase the diversity of valuation.</w:t>
      </w:r>
      <w:r w:rsidRPr="00660493">
        <w:rPr>
          <w:rFonts w:ascii="Times New Roman" w:eastAsia="Arial" w:hAnsi="Times New Roman" w:cs="Times New Roman"/>
          <w:b/>
          <w:sz w:val="24"/>
          <w:szCs w:val="24"/>
        </w:rPr>
        <w:t> </w:t>
      </w:r>
    </w:p>
    <w:p w14:paraId="6AC8C471" w14:textId="77777777" w:rsidR="0054545C" w:rsidRPr="00660493" w:rsidRDefault="00000000" w:rsidP="00EA0354">
      <w:pPr>
        <w:spacing w:line="360" w:lineRule="auto"/>
        <w:jc w:val="both"/>
        <w:rPr>
          <w:rFonts w:ascii="Times New Roman" w:eastAsia="Arial" w:hAnsi="Times New Roman" w:cs="Times New Roman"/>
          <w:b/>
          <w:sz w:val="24"/>
          <w:szCs w:val="24"/>
        </w:rPr>
      </w:pPr>
      <w:r w:rsidRPr="00660493">
        <w:rPr>
          <w:rFonts w:ascii="Times New Roman" w:eastAsia="Arial" w:hAnsi="Times New Roman" w:cs="Times New Roman"/>
          <w:b/>
          <w:sz w:val="24"/>
          <w:szCs w:val="24"/>
        </w:rPr>
        <w:t>5. Comparable valuation method</w:t>
      </w:r>
    </w:p>
    <w:p w14:paraId="332520DB"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This method focuses solely on comparing firm important figures and ratios with their competitors in the same industry to have the </w:t>
      </w:r>
      <w:proofErr w:type="gramStart"/>
      <w:r w:rsidRPr="00660493">
        <w:rPr>
          <w:rFonts w:ascii="Times New Roman" w:eastAsia="Arial" w:hAnsi="Times New Roman" w:cs="Times New Roman"/>
          <w:sz w:val="24"/>
          <w:szCs w:val="24"/>
        </w:rPr>
        <w:t>general firm</w:t>
      </w:r>
      <w:proofErr w:type="gramEnd"/>
      <w:r w:rsidRPr="00660493">
        <w:rPr>
          <w:rFonts w:ascii="Times New Roman" w:eastAsia="Arial" w:hAnsi="Times New Roman" w:cs="Times New Roman"/>
          <w:sz w:val="24"/>
          <w:szCs w:val="24"/>
        </w:rPr>
        <w:t xml:space="preserve"> valuation based on competitors’ values. As TLG is a manufacturing company operating solely in office supply manufacturing, this method can be used to evaluate TLG reliably. With TLG group characteristics, we are determined to use P/E ratio as well as EV/EBITDA to derive the company's true value through an average comparable ratio with its competitors internationally due to TLG being the largest player in Vietnam office supply industry. </w:t>
      </w:r>
    </w:p>
    <w:p w14:paraId="326A4A80" w14:textId="77777777" w:rsidR="0054545C" w:rsidRPr="00660493" w:rsidRDefault="00000000" w:rsidP="00EA0354">
      <w:pPr>
        <w:pStyle w:val="Heading3"/>
        <w:numPr>
          <w:ilvl w:val="0"/>
          <w:numId w:val="7"/>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Scenario and sensitivity analysis</w:t>
      </w:r>
    </w:p>
    <w:p w14:paraId="32B8DB48"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To increase accuracy and precision as well as accounting for uncertain economic conditions and input variables fluctuations, we will conduct scenario and sensitivity analysis to measure the </w:t>
      </w:r>
      <w:r w:rsidRPr="00660493">
        <w:rPr>
          <w:rFonts w:ascii="Times New Roman" w:eastAsia="Arial" w:hAnsi="Times New Roman" w:cs="Times New Roman"/>
          <w:sz w:val="24"/>
          <w:szCs w:val="24"/>
        </w:rPr>
        <w:lastRenderedPageBreak/>
        <w:t xml:space="preserve">company values in each different scenario. We aim to explore how each change affects the company’s value, the magnitude of value changes under each circumstance as well as the worst- and best-case scenario. We intend to employ 3 different analyses </w:t>
      </w:r>
      <w:proofErr w:type="gramStart"/>
      <w:r w:rsidRPr="00660493">
        <w:rPr>
          <w:rFonts w:ascii="Times New Roman" w:eastAsia="Arial" w:hAnsi="Times New Roman" w:cs="Times New Roman"/>
          <w:sz w:val="24"/>
          <w:szCs w:val="24"/>
        </w:rPr>
        <w:t>to</w:t>
      </w:r>
      <w:proofErr w:type="gramEnd"/>
      <w:r w:rsidRPr="00660493">
        <w:rPr>
          <w:rFonts w:ascii="Times New Roman" w:eastAsia="Arial" w:hAnsi="Times New Roman" w:cs="Times New Roman"/>
          <w:sz w:val="24"/>
          <w:szCs w:val="24"/>
        </w:rPr>
        <w:t xml:space="preserve"> the valuation results:</w:t>
      </w:r>
    </w:p>
    <w:p w14:paraId="78C11745" w14:textId="77777777" w:rsidR="0054545C" w:rsidRPr="00660493" w:rsidRDefault="00000000" w:rsidP="00EA0354">
      <w:pPr>
        <w:numPr>
          <w:ilvl w:val="0"/>
          <w:numId w:val="22"/>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We will perform scenario analysis as well as sensitivity analysis at each valuation method, if possible, with their crucial variables such as cost of capital, internal growth rate or EV/EBITDA.</w:t>
      </w:r>
    </w:p>
    <w:p w14:paraId="22A6A229" w14:textId="77777777" w:rsidR="0054545C" w:rsidRPr="00660493" w:rsidRDefault="00000000" w:rsidP="00EA0354">
      <w:pPr>
        <w:numPr>
          <w:ilvl w:val="0"/>
          <w:numId w:val="22"/>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We will analyze firm sales growth scenarios during best, base, and worst-case scenarios as well as carry break-even analysis to analyze the effect of firm expenses on net income.</w:t>
      </w:r>
    </w:p>
    <w:p w14:paraId="6DA7CE8A" w14:textId="77777777" w:rsidR="0054545C" w:rsidRPr="00660493" w:rsidRDefault="00000000" w:rsidP="00EA0354">
      <w:pPr>
        <w:numPr>
          <w:ilvl w:val="0"/>
          <w:numId w:val="22"/>
        </w:num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Lastly, we will perform Monte Carlo simulation to analyze TLG price probability outcome under predetermined critical variable distribution.</w:t>
      </w:r>
    </w:p>
    <w:p w14:paraId="59AB878E" w14:textId="77777777" w:rsidR="0054545C" w:rsidRPr="00660493" w:rsidRDefault="00000000" w:rsidP="00EA0354">
      <w:pPr>
        <w:pStyle w:val="Heading3"/>
        <w:numPr>
          <w:ilvl w:val="0"/>
          <w:numId w:val="7"/>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Forecasting performance</w:t>
      </w:r>
    </w:p>
    <w:p w14:paraId="247C4381"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To assist with the FCF-Based Valuation Model, specifically DCF and APV. We </w:t>
      </w:r>
      <w:proofErr w:type="gramStart"/>
      <w:r w:rsidRPr="00660493">
        <w:rPr>
          <w:rFonts w:ascii="Times New Roman" w:eastAsia="Arial" w:hAnsi="Times New Roman" w:cs="Times New Roman"/>
          <w:sz w:val="24"/>
          <w:szCs w:val="24"/>
        </w:rPr>
        <w:t>adopt</w:t>
      </w:r>
      <w:proofErr w:type="gramEnd"/>
      <w:r w:rsidRPr="00660493">
        <w:rPr>
          <w:rFonts w:ascii="Times New Roman" w:eastAsia="Arial" w:hAnsi="Times New Roman" w:cs="Times New Roman"/>
          <w:sz w:val="24"/>
          <w:szCs w:val="24"/>
        </w:rPr>
        <w:t xml:space="preserve"> the use of Pro-Forma. Pro-Forma, which projects companies earning in the future, will help us to gauge the company's true value reliably. </w:t>
      </w:r>
    </w:p>
    <w:p w14:paraId="4E367B70"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On the other hand, discounted cash flow valuation is the valuation of the firm’s present value in accordance with its expected future earnings. To successfully perform discounted cash flow valuation, Pro Forma statements are crucial with its future revenue, costs, and assets. Thus, we firmly agree that a Pro-Forma will be more precise in analyzing company value as well as </w:t>
      </w:r>
      <w:proofErr w:type="gramStart"/>
      <w:r w:rsidRPr="00660493">
        <w:rPr>
          <w:rFonts w:ascii="Times New Roman" w:eastAsia="Arial" w:hAnsi="Times New Roman" w:cs="Times New Roman"/>
          <w:sz w:val="24"/>
          <w:szCs w:val="24"/>
        </w:rPr>
        <w:t>become</w:t>
      </w:r>
      <w:proofErr w:type="gramEnd"/>
      <w:r w:rsidRPr="00660493">
        <w:rPr>
          <w:rFonts w:ascii="Times New Roman" w:eastAsia="Arial" w:hAnsi="Times New Roman" w:cs="Times New Roman"/>
          <w:sz w:val="24"/>
          <w:szCs w:val="24"/>
        </w:rPr>
        <w:t xml:space="preserve"> an essential help in discounted cash flow valuation </w:t>
      </w:r>
      <w:proofErr w:type="gramStart"/>
      <w:r w:rsidRPr="00660493">
        <w:rPr>
          <w:rFonts w:ascii="Times New Roman" w:eastAsia="Arial" w:hAnsi="Times New Roman" w:cs="Times New Roman"/>
          <w:sz w:val="24"/>
          <w:szCs w:val="24"/>
        </w:rPr>
        <w:t>method</w:t>
      </w:r>
      <w:proofErr w:type="gramEnd"/>
      <w:r w:rsidRPr="00660493">
        <w:rPr>
          <w:rFonts w:ascii="Times New Roman" w:eastAsia="Arial" w:hAnsi="Times New Roman" w:cs="Times New Roman"/>
          <w:sz w:val="24"/>
          <w:szCs w:val="24"/>
        </w:rPr>
        <w:t xml:space="preserve">. We have developed detailed step-by-step progress to assist with valuation control and management. The detailed plan is </w:t>
      </w:r>
      <w:proofErr w:type="gramStart"/>
      <w:r w:rsidRPr="00660493">
        <w:rPr>
          <w:rFonts w:ascii="Times New Roman" w:eastAsia="Arial" w:hAnsi="Times New Roman" w:cs="Times New Roman"/>
          <w:sz w:val="24"/>
          <w:szCs w:val="24"/>
        </w:rPr>
        <w:t>showed</w:t>
      </w:r>
      <w:proofErr w:type="gramEnd"/>
      <w:r w:rsidRPr="00660493">
        <w:rPr>
          <w:rFonts w:ascii="Times New Roman" w:eastAsia="Arial" w:hAnsi="Times New Roman" w:cs="Times New Roman"/>
          <w:sz w:val="24"/>
          <w:szCs w:val="24"/>
        </w:rPr>
        <w:t xml:space="preserve"> below:</w:t>
      </w:r>
    </w:p>
    <w:p w14:paraId="1B2A4DC8"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hAnsi="Times New Roman" w:cs="Times New Roman"/>
          <w:sz w:val="24"/>
          <w:szCs w:val="24"/>
        </w:rPr>
        <w:br w:type="page"/>
      </w:r>
    </w:p>
    <w:tbl>
      <w:tblPr>
        <w:tblStyle w:val="a1"/>
        <w:tblW w:w="9344" w:type="dxa"/>
        <w:tblLayout w:type="fixed"/>
        <w:tblLook w:val="0400" w:firstRow="0" w:lastRow="0" w:firstColumn="0" w:lastColumn="0" w:noHBand="0" w:noVBand="1"/>
      </w:tblPr>
      <w:tblGrid>
        <w:gridCol w:w="2836"/>
        <w:gridCol w:w="6508"/>
      </w:tblGrid>
      <w:tr w:rsidR="0054545C" w:rsidRPr="00660493" w14:paraId="4F0FA119" w14:textId="77777777">
        <w:trPr>
          <w:trHeight w:val="525"/>
        </w:trPr>
        <w:tc>
          <w:tcPr>
            <w:tcW w:w="2836" w:type="dxa"/>
            <w:tcBorders>
              <w:top w:val="single" w:sz="6" w:space="0" w:color="000000"/>
              <w:left w:val="single" w:sz="6" w:space="0" w:color="000000"/>
              <w:bottom w:val="single" w:sz="6" w:space="0" w:color="000000"/>
              <w:right w:val="single" w:sz="6" w:space="0" w:color="000000"/>
            </w:tcBorders>
            <w:shd w:val="clear" w:color="auto" w:fill="4F81BD"/>
            <w:tcMar>
              <w:top w:w="120" w:type="dxa"/>
              <w:left w:w="100" w:type="dxa"/>
              <w:bottom w:w="120" w:type="dxa"/>
              <w:right w:w="100" w:type="dxa"/>
            </w:tcMar>
          </w:tcPr>
          <w:p w14:paraId="40F6C02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FFFFFF"/>
                <w:sz w:val="24"/>
                <w:szCs w:val="24"/>
              </w:rPr>
              <w:lastRenderedPageBreak/>
              <w:t>Steps</w:t>
            </w:r>
          </w:p>
        </w:tc>
        <w:tc>
          <w:tcPr>
            <w:tcW w:w="6508" w:type="dxa"/>
            <w:tcBorders>
              <w:top w:val="single" w:sz="6" w:space="0" w:color="000000"/>
              <w:left w:val="single" w:sz="6" w:space="0" w:color="000000"/>
              <w:bottom w:val="single" w:sz="6" w:space="0" w:color="000000"/>
              <w:right w:val="single" w:sz="6" w:space="0" w:color="000000"/>
            </w:tcBorders>
            <w:shd w:val="clear" w:color="auto" w:fill="4F81BD"/>
            <w:tcMar>
              <w:top w:w="120" w:type="dxa"/>
              <w:left w:w="100" w:type="dxa"/>
              <w:bottom w:w="120" w:type="dxa"/>
              <w:right w:w="100" w:type="dxa"/>
            </w:tcMar>
          </w:tcPr>
          <w:p w14:paraId="55378C56"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FFFFFF"/>
                <w:sz w:val="24"/>
                <w:szCs w:val="24"/>
              </w:rPr>
              <w:t>Detailed explanation</w:t>
            </w:r>
          </w:p>
        </w:tc>
      </w:tr>
      <w:tr w:rsidR="0054545C" w:rsidRPr="00660493" w14:paraId="1A4826B5" w14:textId="77777777">
        <w:trPr>
          <w:trHeight w:val="810"/>
        </w:trPr>
        <w:tc>
          <w:tcPr>
            <w:tcW w:w="2836" w:type="dxa"/>
            <w:tcBorders>
              <w:top w:val="single" w:sz="6" w:space="0" w:color="000000"/>
              <w:left w:val="single" w:sz="6" w:space="0" w:color="000000"/>
              <w:bottom w:val="single" w:sz="6" w:space="0" w:color="000000"/>
              <w:right w:val="single" w:sz="6" w:space="0" w:color="000000"/>
            </w:tcBorders>
            <w:tcMar>
              <w:top w:w="120" w:type="dxa"/>
              <w:left w:w="100" w:type="dxa"/>
              <w:bottom w:w="120" w:type="dxa"/>
              <w:right w:w="100" w:type="dxa"/>
            </w:tcMar>
          </w:tcPr>
          <w:p w14:paraId="25A41E77" w14:textId="77777777" w:rsidR="0054545C" w:rsidRPr="00660493" w:rsidRDefault="00000000" w:rsidP="00EA0354">
            <w:pPr>
              <w:spacing w:after="240" w:line="360" w:lineRule="auto"/>
              <w:ind w:left="120" w:hanging="12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 Collect historical data</w:t>
            </w:r>
          </w:p>
        </w:tc>
        <w:tc>
          <w:tcPr>
            <w:tcW w:w="6508" w:type="dxa"/>
            <w:tcBorders>
              <w:top w:val="single" w:sz="6" w:space="0" w:color="000000"/>
              <w:left w:val="single" w:sz="6" w:space="0" w:color="000000"/>
              <w:bottom w:val="single" w:sz="6" w:space="0" w:color="000000"/>
              <w:right w:val="single" w:sz="6" w:space="0" w:color="000000"/>
            </w:tcBorders>
            <w:tcMar>
              <w:top w:w="120" w:type="dxa"/>
              <w:left w:w="100" w:type="dxa"/>
              <w:bottom w:w="120" w:type="dxa"/>
              <w:right w:w="100" w:type="dxa"/>
            </w:tcMar>
          </w:tcPr>
          <w:p w14:paraId="243181AA"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We will first collect TLG’s financial information from the company website.</w:t>
            </w:r>
          </w:p>
        </w:tc>
      </w:tr>
      <w:tr w:rsidR="0054545C" w:rsidRPr="00660493" w14:paraId="464F5BD3" w14:textId="77777777">
        <w:trPr>
          <w:trHeight w:val="810"/>
        </w:trPr>
        <w:tc>
          <w:tcPr>
            <w:tcW w:w="2836" w:type="dxa"/>
            <w:tcBorders>
              <w:top w:val="single" w:sz="6" w:space="0" w:color="000000"/>
              <w:left w:val="single" w:sz="6" w:space="0" w:color="000000"/>
              <w:bottom w:val="single" w:sz="6" w:space="0" w:color="000000"/>
              <w:right w:val="single" w:sz="6" w:space="0" w:color="000000"/>
            </w:tcBorders>
            <w:tcMar>
              <w:top w:w="120" w:type="dxa"/>
              <w:left w:w="100" w:type="dxa"/>
              <w:bottom w:w="120" w:type="dxa"/>
              <w:right w:w="100" w:type="dxa"/>
            </w:tcMar>
          </w:tcPr>
          <w:p w14:paraId="5D01C053" w14:textId="77777777" w:rsidR="0054545C" w:rsidRPr="00660493" w:rsidRDefault="00000000" w:rsidP="00EA0354">
            <w:pPr>
              <w:spacing w:after="240" w:line="360" w:lineRule="auto"/>
              <w:ind w:left="120" w:hanging="12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 Break down revenue</w:t>
            </w:r>
          </w:p>
        </w:tc>
        <w:tc>
          <w:tcPr>
            <w:tcW w:w="6508" w:type="dxa"/>
            <w:tcBorders>
              <w:top w:val="single" w:sz="6" w:space="0" w:color="000000"/>
              <w:left w:val="single" w:sz="6" w:space="0" w:color="000000"/>
              <w:bottom w:val="single" w:sz="6" w:space="0" w:color="000000"/>
              <w:right w:val="single" w:sz="6" w:space="0" w:color="000000"/>
            </w:tcBorders>
            <w:tcMar>
              <w:top w:w="120" w:type="dxa"/>
              <w:left w:w="100" w:type="dxa"/>
              <w:bottom w:w="120" w:type="dxa"/>
              <w:right w:w="100" w:type="dxa"/>
            </w:tcMar>
          </w:tcPr>
          <w:p w14:paraId="273C1070"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We will then break down sales revenue according to product brands and market</w:t>
            </w:r>
          </w:p>
        </w:tc>
      </w:tr>
      <w:tr w:rsidR="0054545C" w:rsidRPr="00660493" w14:paraId="192602F4" w14:textId="77777777">
        <w:trPr>
          <w:trHeight w:val="810"/>
        </w:trPr>
        <w:tc>
          <w:tcPr>
            <w:tcW w:w="2836" w:type="dxa"/>
            <w:tcBorders>
              <w:top w:val="single" w:sz="6" w:space="0" w:color="000000"/>
              <w:left w:val="single" w:sz="6" w:space="0" w:color="000000"/>
              <w:bottom w:val="single" w:sz="6" w:space="0" w:color="B8CCE4"/>
              <w:right w:val="single" w:sz="6" w:space="0" w:color="000000"/>
            </w:tcBorders>
            <w:tcMar>
              <w:top w:w="120" w:type="dxa"/>
              <w:left w:w="100" w:type="dxa"/>
              <w:bottom w:w="120" w:type="dxa"/>
              <w:right w:w="100" w:type="dxa"/>
            </w:tcMar>
          </w:tcPr>
          <w:p w14:paraId="6D827DE6" w14:textId="77777777" w:rsidR="0054545C" w:rsidRPr="00660493" w:rsidRDefault="00000000" w:rsidP="00EA0354">
            <w:pPr>
              <w:spacing w:after="240" w:line="360" w:lineRule="auto"/>
              <w:ind w:left="120" w:hanging="12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3. Forecast future revenue</w:t>
            </w:r>
          </w:p>
        </w:tc>
        <w:tc>
          <w:tcPr>
            <w:tcW w:w="6508" w:type="dxa"/>
            <w:tcBorders>
              <w:top w:val="single" w:sz="6" w:space="0" w:color="000000"/>
              <w:left w:val="single" w:sz="6" w:space="0" w:color="000000"/>
              <w:bottom w:val="single" w:sz="6" w:space="0" w:color="B8CCE4"/>
              <w:right w:val="single" w:sz="6" w:space="0" w:color="000000"/>
            </w:tcBorders>
            <w:tcMar>
              <w:top w:w="120" w:type="dxa"/>
              <w:left w:w="100" w:type="dxa"/>
              <w:bottom w:w="120" w:type="dxa"/>
              <w:right w:w="100" w:type="dxa"/>
            </w:tcMar>
          </w:tcPr>
          <w:p w14:paraId="4224CF00"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We will forecast sales revenue of each product brands and sum up for the total revenue of TLG</w:t>
            </w:r>
          </w:p>
        </w:tc>
      </w:tr>
      <w:tr w:rsidR="0054545C" w:rsidRPr="00660493" w14:paraId="03CF190A" w14:textId="77777777">
        <w:trPr>
          <w:trHeight w:val="810"/>
        </w:trPr>
        <w:tc>
          <w:tcPr>
            <w:tcW w:w="2836" w:type="dxa"/>
            <w:tcBorders>
              <w:top w:val="single" w:sz="6" w:space="0" w:color="B8CCE4"/>
              <w:left w:val="single" w:sz="6" w:space="0" w:color="000000"/>
              <w:bottom w:val="single" w:sz="6" w:space="0" w:color="B8CCE4"/>
              <w:right w:val="single" w:sz="6" w:space="0" w:color="000000"/>
            </w:tcBorders>
            <w:tcMar>
              <w:top w:w="120" w:type="dxa"/>
              <w:left w:w="100" w:type="dxa"/>
              <w:bottom w:w="120" w:type="dxa"/>
              <w:right w:w="100" w:type="dxa"/>
            </w:tcMar>
          </w:tcPr>
          <w:p w14:paraId="624BF6D9" w14:textId="77777777" w:rsidR="0054545C" w:rsidRPr="00660493" w:rsidRDefault="00000000" w:rsidP="00EA0354">
            <w:pPr>
              <w:spacing w:after="240" w:line="360" w:lineRule="auto"/>
              <w:ind w:left="120" w:hanging="12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4. Forecast other items</w:t>
            </w:r>
          </w:p>
        </w:tc>
        <w:tc>
          <w:tcPr>
            <w:tcW w:w="6508" w:type="dxa"/>
            <w:tcBorders>
              <w:top w:val="single" w:sz="6" w:space="0" w:color="B8CCE4"/>
              <w:left w:val="single" w:sz="6" w:space="0" w:color="000000"/>
              <w:bottom w:val="single" w:sz="6" w:space="0" w:color="B8CCE4"/>
              <w:right w:val="single" w:sz="6" w:space="0" w:color="000000"/>
            </w:tcBorders>
            <w:tcMar>
              <w:top w:w="120" w:type="dxa"/>
              <w:left w:w="100" w:type="dxa"/>
              <w:bottom w:w="120" w:type="dxa"/>
              <w:right w:w="100" w:type="dxa"/>
            </w:tcMar>
          </w:tcPr>
          <w:p w14:paraId="1749C31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We will forecast other items in financial statements based on percentage of sales, historical trends, or company policy.</w:t>
            </w:r>
          </w:p>
        </w:tc>
      </w:tr>
      <w:tr w:rsidR="0054545C" w:rsidRPr="00660493" w14:paraId="13F8E4DB" w14:textId="77777777">
        <w:trPr>
          <w:trHeight w:val="810"/>
        </w:trPr>
        <w:tc>
          <w:tcPr>
            <w:tcW w:w="2836" w:type="dxa"/>
            <w:tcBorders>
              <w:top w:val="single" w:sz="6" w:space="0" w:color="B8CCE4"/>
              <w:left w:val="single" w:sz="6" w:space="0" w:color="000000"/>
              <w:bottom w:val="single" w:sz="6" w:space="0" w:color="B8CCE4"/>
              <w:right w:val="single" w:sz="6" w:space="0" w:color="000000"/>
            </w:tcBorders>
            <w:tcMar>
              <w:top w:w="120" w:type="dxa"/>
              <w:left w:w="100" w:type="dxa"/>
              <w:bottom w:w="120" w:type="dxa"/>
              <w:right w:w="100" w:type="dxa"/>
            </w:tcMar>
          </w:tcPr>
          <w:p w14:paraId="3B003E85" w14:textId="77777777" w:rsidR="0054545C" w:rsidRPr="00660493" w:rsidRDefault="00000000" w:rsidP="00EA0354">
            <w:pPr>
              <w:spacing w:after="240" w:line="360" w:lineRule="auto"/>
              <w:ind w:left="120" w:hanging="12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5. Construct pro-forma financial statement</w:t>
            </w:r>
          </w:p>
        </w:tc>
        <w:tc>
          <w:tcPr>
            <w:tcW w:w="6508" w:type="dxa"/>
            <w:tcBorders>
              <w:top w:val="single" w:sz="6" w:space="0" w:color="B8CCE4"/>
              <w:left w:val="single" w:sz="6" w:space="0" w:color="000000"/>
              <w:bottom w:val="single" w:sz="6" w:space="0" w:color="B8CCE4"/>
              <w:right w:val="single" w:sz="6" w:space="0" w:color="000000"/>
            </w:tcBorders>
            <w:tcMar>
              <w:top w:w="120" w:type="dxa"/>
              <w:left w:w="100" w:type="dxa"/>
              <w:bottom w:w="120" w:type="dxa"/>
              <w:right w:w="100" w:type="dxa"/>
            </w:tcMar>
          </w:tcPr>
          <w:p w14:paraId="136B3C67"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We will then construct the pro forma statement based on those forecasted values.   </w:t>
            </w:r>
          </w:p>
        </w:tc>
      </w:tr>
      <w:tr w:rsidR="0054545C" w:rsidRPr="00660493" w14:paraId="1D79D2E8" w14:textId="77777777">
        <w:trPr>
          <w:trHeight w:val="810"/>
        </w:trPr>
        <w:tc>
          <w:tcPr>
            <w:tcW w:w="2836" w:type="dxa"/>
            <w:tcBorders>
              <w:top w:val="single" w:sz="6" w:space="0" w:color="B8CCE4"/>
              <w:left w:val="single" w:sz="6" w:space="0" w:color="000000"/>
              <w:bottom w:val="single" w:sz="6" w:space="0" w:color="B8CCE4"/>
              <w:right w:val="single" w:sz="6" w:space="0" w:color="000000"/>
            </w:tcBorders>
            <w:tcMar>
              <w:top w:w="120" w:type="dxa"/>
              <w:left w:w="100" w:type="dxa"/>
              <w:bottom w:w="120" w:type="dxa"/>
              <w:right w:w="100" w:type="dxa"/>
            </w:tcMar>
          </w:tcPr>
          <w:p w14:paraId="4E706A31" w14:textId="77777777" w:rsidR="0054545C" w:rsidRPr="00660493" w:rsidRDefault="00000000" w:rsidP="00EA0354">
            <w:pPr>
              <w:spacing w:after="240" w:line="360" w:lineRule="auto"/>
              <w:ind w:left="120" w:hanging="12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6. Derive company value</w:t>
            </w:r>
          </w:p>
        </w:tc>
        <w:tc>
          <w:tcPr>
            <w:tcW w:w="6508" w:type="dxa"/>
            <w:tcBorders>
              <w:top w:val="single" w:sz="6" w:space="0" w:color="B8CCE4"/>
              <w:left w:val="single" w:sz="6" w:space="0" w:color="000000"/>
              <w:bottom w:val="single" w:sz="6" w:space="0" w:color="B8CCE4"/>
              <w:right w:val="single" w:sz="6" w:space="0" w:color="000000"/>
            </w:tcBorders>
            <w:tcMar>
              <w:top w:w="120" w:type="dxa"/>
              <w:left w:w="100" w:type="dxa"/>
              <w:bottom w:w="120" w:type="dxa"/>
              <w:right w:w="100" w:type="dxa"/>
            </w:tcMar>
          </w:tcPr>
          <w:p w14:paraId="49A6C253"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We then will derive company value using discounted cash flow valuation, dividend valuation and comparable ratio.</w:t>
            </w:r>
          </w:p>
        </w:tc>
      </w:tr>
      <w:tr w:rsidR="0054545C" w:rsidRPr="00660493" w14:paraId="0D58D7EA" w14:textId="77777777">
        <w:trPr>
          <w:trHeight w:val="810"/>
        </w:trPr>
        <w:tc>
          <w:tcPr>
            <w:tcW w:w="2836" w:type="dxa"/>
            <w:tcBorders>
              <w:top w:val="single" w:sz="6" w:space="0" w:color="B8CCE4"/>
              <w:left w:val="single" w:sz="6" w:space="0" w:color="000000"/>
              <w:bottom w:val="single" w:sz="6" w:space="0" w:color="B8CCE4"/>
              <w:right w:val="single" w:sz="6" w:space="0" w:color="000000"/>
            </w:tcBorders>
            <w:tcMar>
              <w:top w:w="120" w:type="dxa"/>
              <w:left w:w="100" w:type="dxa"/>
              <w:bottom w:w="120" w:type="dxa"/>
              <w:right w:w="100" w:type="dxa"/>
            </w:tcMar>
          </w:tcPr>
          <w:p w14:paraId="659CBF35" w14:textId="77777777" w:rsidR="0054545C" w:rsidRPr="00660493" w:rsidRDefault="00000000" w:rsidP="00EA0354">
            <w:pPr>
              <w:spacing w:after="240" w:line="360" w:lineRule="auto"/>
              <w:ind w:left="120" w:hanging="12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7. Calculate company total value</w:t>
            </w:r>
          </w:p>
        </w:tc>
        <w:tc>
          <w:tcPr>
            <w:tcW w:w="6508" w:type="dxa"/>
            <w:tcBorders>
              <w:top w:val="single" w:sz="6" w:space="0" w:color="B8CCE4"/>
              <w:left w:val="single" w:sz="6" w:space="0" w:color="000000"/>
              <w:bottom w:val="single" w:sz="6" w:space="0" w:color="B8CCE4"/>
              <w:right w:val="single" w:sz="6" w:space="0" w:color="000000"/>
            </w:tcBorders>
            <w:tcMar>
              <w:top w:w="120" w:type="dxa"/>
              <w:left w:w="100" w:type="dxa"/>
              <w:bottom w:w="120" w:type="dxa"/>
              <w:right w:w="100" w:type="dxa"/>
            </w:tcMar>
          </w:tcPr>
          <w:p w14:paraId="4960458C"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xml:space="preserve">We will adjust and assign sufficient to each valuation </w:t>
            </w:r>
            <w:proofErr w:type="gramStart"/>
            <w:r w:rsidRPr="00660493">
              <w:rPr>
                <w:rFonts w:ascii="Times New Roman" w:eastAsia="Arial" w:hAnsi="Times New Roman" w:cs="Times New Roman"/>
                <w:color w:val="000000"/>
                <w:sz w:val="24"/>
                <w:szCs w:val="24"/>
              </w:rPr>
              <w:t>methods</w:t>
            </w:r>
            <w:proofErr w:type="gramEnd"/>
            <w:r w:rsidRPr="00660493">
              <w:rPr>
                <w:rFonts w:ascii="Times New Roman" w:eastAsia="Arial" w:hAnsi="Times New Roman" w:cs="Times New Roman"/>
                <w:color w:val="000000"/>
                <w:sz w:val="24"/>
                <w:szCs w:val="24"/>
              </w:rPr>
              <w:t xml:space="preserve"> and calculate the TLG’s final value</w:t>
            </w:r>
          </w:p>
        </w:tc>
      </w:tr>
      <w:tr w:rsidR="0054545C" w:rsidRPr="00660493" w14:paraId="640CEAC9" w14:textId="77777777">
        <w:trPr>
          <w:trHeight w:val="810"/>
        </w:trPr>
        <w:tc>
          <w:tcPr>
            <w:tcW w:w="2836" w:type="dxa"/>
            <w:tcBorders>
              <w:top w:val="single" w:sz="6" w:space="0" w:color="B8CCE4"/>
              <w:left w:val="single" w:sz="6" w:space="0" w:color="000000"/>
              <w:bottom w:val="single" w:sz="6" w:space="0" w:color="000000"/>
              <w:right w:val="single" w:sz="6" w:space="0" w:color="000000"/>
            </w:tcBorders>
            <w:tcMar>
              <w:top w:w="120" w:type="dxa"/>
              <w:left w:w="100" w:type="dxa"/>
              <w:bottom w:w="120" w:type="dxa"/>
              <w:right w:w="100" w:type="dxa"/>
            </w:tcMar>
          </w:tcPr>
          <w:p w14:paraId="245FED7F" w14:textId="77777777" w:rsidR="0054545C" w:rsidRPr="00660493" w:rsidRDefault="00000000" w:rsidP="00EA0354">
            <w:pPr>
              <w:spacing w:after="240" w:line="360" w:lineRule="auto"/>
              <w:ind w:left="120" w:hanging="120"/>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8. Perform scenario analysis</w:t>
            </w:r>
          </w:p>
        </w:tc>
        <w:tc>
          <w:tcPr>
            <w:tcW w:w="6508" w:type="dxa"/>
            <w:tcBorders>
              <w:top w:val="single" w:sz="6" w:space="0" w:color="B8CCE4"/>
              <w:left w:val="single" w:sz="6" w:space="0" w:color="000000"/>
              <w:bottom w:val="single" w:sz="6" w:space="0" w:color="000000"/>
              <w:right w:val="single" w:sz="6" w:space="0" w:color="000000"/>
            </w:tcBorders>
            <w:tcMar>
              <w:top w:w="120" w:type="dxa"/>
              <w:left w:w="100" w:type="dxa"/>
              <w:bottom w:w="120" w:type="dxa"/>
              <w:right w:w="100" w:type="dxa"/>
            </w:tcMar>
          </w:tcPr>
          <w:p w14:paraId="0F26F18A"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We will perform the scenario and sensitivity analysis to predict company in both best- and worst-case scenario</w:t>
            </w:r>
          </w:p>
        </w:tc>
      </w:tr>
    </w:tbl>
    <w:p w14:paraId="5E980EF0" w14:textId="77777777" w:rsidR="0054545C" w:rsidRPr="00660493" w:rsidRDefault="0054545C" w:rsidP="00EA0354">
      <w:pPr>
        <w:spacing w:line="360" w:lineRule="auto"/>
        <w:jc w:val="both"/>
        <w:rPr>
          <w:rFonts w:ascii="Times New Roman" w:eastAsia="Arial" w:hAnsi="Times New Roman" w:cs="Times New Roman"/>
          <w:sz w:val="24"/>
          <w:szCs w:val="24"/>
        </w:rPr>
      </w:pPr>
    </w:p>
    <w:p w14:paraId="0A81F8F0" w14:textId="77777777" w:rsidR="0054545C" w:rsidRPr="00660493" w:rsidRDefault="00000000" w:rsidP="00EA0354">
      <w:pPr>
        <w:pStyle w:val="Heading1"/>
        <w:numPr>
          <w:ilvl w:val="0"/>
          <w:numId w:val="1"/>
        </w:numPr>
        <w:spacing w:before="0" w:line="360" w:lineRule="auto"/>
        <w:rPr>
          <w:rFonts w:ascii="Times New Roman" w:hAnsi="Times New Roman" w:cs="Times New Roman"/>
          <w:sz w:val="24"/>
          <w:szCs w:val="24"/>
        </w:rPr>
      </w:pPr>
      <w:r w:rsidRPr="00660493">
        <w:rPr>
          <w:rFonts w:ascii="Times New Roman" w:hAnsi="Times New Roman" w:cs="Times New Roman"/>
          <w:sz w:val="24"/>
          <w:szCs w:val="24"/>
        </w:rPr>
        <w:lastRenderedPageBreak/>
        <w:t>Empirical Results</w:t>
      </w:r>
    </w:p>
    <w:p w14:paraId="3737CA4F" w14:textId="77777777" w:rsidR="0054545C" w:rsidRPr="00660493" w:rsidRDefault="00000000" w:rsidP="00EA0354">
      <w:pPr>
        <w:pStyle w:val="Heading2"/>
        <w:numPr>
          <w:ilvl w:val="0"/>
          <w:numId w:val="9"/>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Financial Statement Analysis: Ratio Analysis</w:t>
      </w:r>
    </w:p>
    <w:p w14:paraId="7258F83C"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The ratio analysis is categorized into 5 key ratios: liquidity ratios, solvency ratios, efficiency ratios, profitability ratios and market value ratios. The purpose of analyzing these ratios is not only to track the performance of TLG, but it also provides a comparison of TLG with other companies in the same sector or industry.</w:t>
      </w:r>
    </w:p>
    <w:p w14:paraId="5A381732" w14:textId="77777777" w:rsidR="0054545C" w:rsidRPr="00660493" w:rsidRDefault="00000000" w:rsidP="00EA0354">
      <w:pPr>
        <w:pStyle w:val="Heading3"/>
        <w:numPr>
          <w:ilvl w:val="0"/>
          <w:numId w:val="12"/>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Liquidity Ratios</w:t>
      </w:r>
    </w:p>
    <w:tbl>
      <w:tblPr>
        <w:tblStyle w:val="a2"/>
        <w:tblW w:w="7983" w:type="dxa"/>
        <w:tblLayout w:type="fixed"/>
        <w:tblLook w:val="0400" w:firstRow="0" w:lastRow="0" w:firstColumn="0" w:lastColumn="0" w:noHBand="0" w:noVBand="1"/>
      </w:tblPr>
      <w:tblGrid>
        <w:gridCol w:w="2943"/>
        <w:gridCol w:w="1290"/>
        <w:gridCol w:w="750"/>
        <w:gridCol w:w="750"/>
        <w:gridCol w:w="750"/>
        <w:gridCol w:w="750"/>
        <w:gridCol w:w="750"/>
      </w:tblGrid>
      <w:tr w:rsidR="0054545C" w:rsidRPr="00660493" w14:paraId="74BEA42F" w14:textId="77777777">
        <w:trPr>
          <w:trHeight w:val="536"/>
        </w:trPr>
        <w:tc>
          <w:tcPr>
            <w:tcW w:w="2943" w:type="dxa"/>
            <w:tcBorders>
              <w:top w:val="single" w:sz="4" w:space="0" w:color="000000"/>
              <w:left w:val="single" w:sz="4" w:space="0" w:color="000000"/>
              <w:bottom w:val="single" w:sz="4" w:space="0" w:color="000000"/>
              <w:right w:val="single" w:sz="4" w:space="0" w:color="000000"/>
            </w:tcBorders>
            <w:shd w:val="clear" w:color="auto" w:fill="C6E0B4"/>
            <w:tcMar>
              <w:top w:w="20" w:type="dxa"/>
              <w:left w:w="20" w:type="dxa"/>
              <w:bottom w:w="100" w:type="dxa"/>
              <w:right w:w="20" w:type="dxa"/>
            </w:tcMar>
            <w:vAlign w:val="center"/>
          </w:tcPr>
          <w:p w14:paraId="34DECDA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Liquidity Indicators</w:t>
            </w:r>
          </w:p>
        </w:tc>
        <w:tc>
          <w:tcPr>
            <w:tcW w:w="1290" w:type="dxa"/>
            <w:tcBorders>
              <w:top w:val="single" w:sz="4" w:space="0" w:color="000000"/>
              <w:left w:val="single" w:sz="4" w:space="0" w:color="000000"/>
              <w:bottom w:val="single" w:sz="4" w:space="0" w:color="000000"/>
              <w:right w:val="single" w:sz="4" w:space="0" w:color="000000"/>
            </w:tcBorders>
            <w:shd w:val="clear" w:color="auto" w:fill="C6E0B4"/>
            <w:tcMar>
              <w:top w:w="20" w:type="dxa"/>
              <w:left w:w="20" w:type="dxa"/>
              <w:bottom w:w="100" w:type="dxa"/>
              <w:right w:w="20" w:type="dxa"/>
            </w:tcMar>
            <w:vAlign w:val="center"/>
          </w:tcPr>
          <w:p w14:paraId="628550F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Average</w:t>
            </w:r>
          </w:p>
        </w:tc>
        <w:tc>
          <w:tcPr>
            <w:tcW w:w="750" w:type="dxa"/>
            <w:tcBorders>
              <w:top w:val="single" w:sz="4" w:space="0" w:color="000000"/>
              <w:left w:val="single" w:sz="4" w:space="0" w:color="000000"/>
              <w:bottom w:val="single" w:sz="4" w:space="0" w:color="000000"/>
              <w:right w:val="single" w:sz="4" w:space="0" w:color="000000"/>
            </w:tcBorders>
            <w:shd w:val="clear" w:color="auto" w:fill="70AD47"/>
            <w:tcMar>
              <w:top w:w="20" w:type="dxa"/>
              <w:left w:w="20" w:type="dxa"/>
              <w:bottom w:w="100" w:type="dxa"/>
              <w:right w:w="20" w:type="dxa"/>
            </w:tcMar>
            <w:vAlign w:val="center"/>
          </w:tcPr>
          <w:p w14:paraId="2F8116B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2018</w:t>
            </w:r>
          </w:p>
        </w:tc>
        <w:tc>
          <w:tcPr>
            <w:tcW w:w="750" w:type="dxa"/>
            <w:tcBorders>
              <w:top w:val="single" w:sz="4" w:space="0" w:color="000000"/>
              <w:left w:val="single" w:sz="4" w:space="0" w:color="000000"/>
              <w:bottom w:val="single" w:sz="4" w:space="0" w:color="000000"/>
              <w:right w:val="single" w:sz="4" w:space="0" w:color="000000"/>
            </w:tcBorders>
            <w:shd w:val="clear" w:color="auto" w:fill="70AD47"/>
            <w:tcMar>
              <w:top w:w="20" w:type="dxa"/>
              <w:left w:w="20" w:type="dxa"/>
              <w:bottom w:w="100" w:type="dxa"/>
              <w:right w:w="20" w:type="dxa"/>
            </w:tcMar>
            <w:vAlign w:val="center"/>
          </w:tcPr>
          <w:p w14:paraId="06520AC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2019</w:t>
            </w:r>
          </w:p>
        </w:tc>
        <w:tc>
          <w:tcPr>
            <w:tcW w:w="750" w:type="dxa"/>
            <w:tcBorders>
              <w:top w:val="single" w:sz="4" w:space="0" w:color="000000"/>
              <w:left w:val="single" w:sz="4" w:space="0" w:color="000000"/>
              <w:bottom w:val="single" w:sz="4" w:space="0" w:color="000000"/>
              <w:right w:val="single" w:sz="4" w:space="0" w:color="000000"/>
            </w:tcBorders>
            <w:shd w:val="clear" w:color="auto" w:fill="70AD47"/>
            <w:tcMar>
              <w:top w:w="20" w:type="dxa"/>
              <w:left w:w="20" w:type="dxa"/>
              <w:bottom w:w="100" w:type="dxa"/>
              <w:right w:w="20" w:type="dxa"/>
            </w:tcMar>
            <w:vAlign w:val="center"/>
          </w:tcPr>
          <w:p w14:paraId="147558E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2020</w:t>
            </w:r>
          </w:p>
        </w:tc>
        <w:tc>
          <w:tcPr>
            <w:tcW w:w="750" w:type="dxa"/>
            <w:tcBorders>
              <w:top w:val="single" w:sz="4" w:space="0" w:color="000000"/>
              <w:left w:val="single" w:sz="4" w:space="0" w:color="000000"/>
              <w:bottom w:val="single" w:sz="4" w:space="0" w:color="000000"/>
              <w:right w:val="single" w:sz="4" w:space="0" w:color="000000"/>
            </w:tcBorders>
            <w:shd w:val="clear" w:color="auto" w:fill="70AD47"/>
            <w:tcMar>
              <w:top w:w="20" w:type="dxa"/>
              <w:left w:w="20" w:type="dxa"/>
              <w:bottom w:w="100" w:type="dxa"/>
              <w:right w:w="20" w:type="dxa"/>
            </w:tcMar>
            <w:vAlign w:val="center"/>
          </w:tcPr>
          <w:p w14:paraId="74DF739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2021</w:t>
            </w:r>
          </w:p>
        </w:tc>
        <w:tc>
          <w:tcPr>
            <w:tcW w:w="750" w:type="dxa"/>
            <w:tcBorders>
              <w:top w:val="single" w:sz="4" w:space="0" w:color="000000"/>
              <w:left w:val="single" w:sz="4" w:space="0" w:color="000000"/>
              <w:bottom w:val="single" w:sz="4" w:space="0" w:color="000000"/>
              <w:right w:val="single" w:sz="4" w:space="0" w:color="000000"/>
            </w:tcBorders>
            <w:shd w:val="clear" w:color="auto" w:fill="70AD47"/>
            <w:tcMar>
              <w:top w:w="20" w:type="dxa"/>
              <w:left w:w="20" w:type="dxa"/>
              <w:bottom w:w="100" w:type="dxa"/>
              <w:right w:w="20" w:type="dxa"/>
            </w:tcMar>
            <w:vAlign w:val="center"/>
          </w:tcPr>
          <w:p w14:paraId="3B638A5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2022</w:t>
            </w:r>
          </w:p>
        </w:tc>
      </w:tr>
      <w:tr w:rsidR="0054545C" w:rsidRPr="00660493" w14:paraId="35AE8BBE" w14:textId="77777777">
        <w:trPr>
          <w:trHeight w:val="557"/>
        </w:trPr>
        <w:tc>
          <w:tcPr>
            <w:tcW w:w="2943"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0AD9FF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Current Ratio</w:t>
            </w:r>
          </w:p>
        </w:tc>
        <w:tc>
          <w:tcPr>
            <w:tcW w:w="1290" w:type="dxa"/>
            <w:tcBorders>
              <w:top w:val="single" w:sz="4" w:space="0" w:color="000000"/>
              <w:left w:val="single" w:sz="4" w:space="0" w:color="000000"/>
              <w:bottom w:val="single" w:sz="4" w:space="0" w:color="000000"/>
              <w:right w:val="single" w:sz="4" w:space="0" w:color="000000"/>
            </w:tcBorders>
            <w:shd w:val="clear" w:color="auto" w:fill="E2EFDA"/>
            <w:tcMar>
              <w:top w:w="20" w:type="dxa"/>
              <w:left w:w="20" w:type="dxa"/>
              <w:bottom w:w="100" w:type="dxa"/>
              <w:right w:w="20" w:type="dxa"/>
            </w:tcMar>
            <w:vAlign w:val="center"/>
          </w:tcPr>
          <w:p w14:paraId="2FDE174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2.86</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630BFA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2.37</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734A1D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3.30</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9307B0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3.41</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3EDC7C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3.23</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415717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2.57</w:t>
            </w:r>
          </w:p>
        </w:tc>
      </w:tr>
      <w:tr w:rsidR="0054545C" w:rsidRPr="00660493" w14:paraId="5469E08D" w14:textId="77777777">
        <w:trPr>
          <w:trHeight w:val="557"/>
        </w:trPr>
        <w:tc>
          <w:tcPr>
            <w:tcW w:w="2943"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433C3A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Quick Ratio</w:t>
            </w:r>
          </w:p>
        </w:tc>
        <w:tc>
          <w:tcPr>
            <w:tcW w:w="1290" w:type="dxa"/>
            <w:tcBorders>
              <w:top w:val="single" w:sz="4" w:space="0" w:color="000000"/>
              <w:left w:val="single" w:sz="4" w:space="0" w:color="000000"/>
              <w:bottom w:val="single" w:sz="4" w:space="0" w:color="000000"/>
              <w:right w:val="single" w:sz="4" w:space="0" w:color="000000"/>
            </w:tcBorders>
            <w:shd w:val="clear" w:color="auto" w:fill="E2EFDA"/>
            <w:tcMar>
              <w:top w:w="20" w:type="dxa"/>
              <w:left w:w="20" w:type="dxa"/>
              <w:bottom w:w="100" w:type="dxa"/>
              <w:right w:w="20" w:type="dxa"/>
            </w:tcMar>
            <w:vAlign w:val="center"/>
          </w:tcPr>
          <w:p w14:paraId="50E4B58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1.72</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114E52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0.99</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9A87664"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2.25</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ED2B72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2.35</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4C9A21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2.03</w:t>
            </w:r>
          </w:p>
        </w:tc>
        <w:tc>
          <w:tcPr>
            <w:tcW w:w="75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65D4D4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1.47</w:t>
            </w:r>
          </w:p>
        </w:tc>
      </w:tr>
    </w:tbl>
    <w:p w14:paraId="7CD8598F" w14:textId="77777777" w:rsidR="0054545C" w:rsidRPr="00660493" w:rsidRDefault="0054545C" w:rsidP="00EA0354">
      <w:pPr>
        <w:spacing w:after="0" w:line="360" w:lineRule="auto"/>
        <w:jc w:val="both"/>
        <w:rPr>
          <w:rFonts w:ascii="Times New Roman" w:eastAsia="Arial" w:hAnsi="Times New Roman" w:cs="Times New Roman"/>
          <w:sz w:val="24"/>
          <w:szCs w:val="24"/>
        </w:rPr>
      </w:pPr>
    </w:p>
    <w:p w14:paraId="12F0C913" w14:textId="77777777" w:rsidR="0054545C" w:rsidRPr="00660493" w:rsidRDefault="00000000" w:rsidP="00EA0354">
      <w:pPr>
        <w:spacing w:after="10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The current ratio is an indicator that estimates the ability of a business to cover its short-term liabilities by using short-term assets. </w:t>
      </w:r>
      <w:proofErr w:type="gramStart"/>
      <w:r w:rsidRPr="00660493">
        <w:rPr>
          <w:rFonts w:ascii="Times New Roman" w:eastAsia="Arial" w:hAnsi="Times New Roman" w:cs="Times New Roman"/>
          <w:sz w:val="24"/>
          <w:szCs w:val="24"/>
        </w:rPr>
        <w:t>It can be seen that TLG</w:t>
      </w:r>
      <w:proofErr w:type="gramEnd"/>
      <w:r w:rsidRPr="00660493">
        <w:rPr>
          <w:rFonts w:ascii="Times New Roman" w:eastAsia="Arial" w:hAnsi="Times New Roman" w:cs="Times New Roman"/>
          <w:sz w:val="24"/>
          <w:szCs w:val="24"/>
        </w:rPr>
        <w:t xml:space="preserve"> has a current ratio of always above 1.0 during the period of 2018 - 2022, it can be said that TLG can cover debt well with short-term assets. However, it is worth noting that from 2019 to 2021, this coefficient exceeds 3.0, which is not a positive sign for TLG's fund management activities. A possible reason for this index to increase significantly lies in TLG's current assets. In 2019, TLG recorded a rapid increase when TLG's short-term financial investment reached 466 billion VND and short-term receivables reached more than 581 billion VND.</w:t>
      </w:r>
    </w:p>
    <w:p w14:paraId="3A5E96C6" w14:textId="77777777" w:rsidR="0054545C" w:rsidRPr="00660493" w:rsidRDefault="0054545C" w:rsidP="00EA0354">
      <w:pPr>
        <w:spacing w:after="0" w:line="360" w:lineRule="auto"/>
        <w:jc w:val="both"/>
        <w:rPr>
          <w:rFonts w:ascii="Times New Roman" w:eastAsia="Arial" w:hAnsi="Times New Roman" w:cs="Times New Roman"/>
          <w:sz w:val="24"/>
          <w:szCs w:val="24"/>
        </w:rPr>
      </w:pPr>
    </w:p>
    <w:p w14:paraId="59CAFE99" w14:textId="1C34CBEF" w:rsidR="0054545C" w:rsidRPr="00660493" w:rsidRDefault="00000000" w:rsidP="00EA0354">
      <w:pPr>
        <w:spacing w:after="10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In terms of quick ratio, it has the same measurement as the current ratio but excluding inventory, so it is more descriptive of the ability of assets to be converted to cash in 90 days or </w:t>
      </w:r>
      <w:proofErr w:type="gramStart"/>
      <w:r w:rsidRPr="00660493">
        <w:rPr>
          <w:rFonts w:ascii="Times New Roman" w:eastAsia="Arial" w:hAnsi="Times New Roman" w:cs="Times New Roman"/>
          <w:sz w:val="24"/>
          <w:szCs w:val="24"/>
        </w:rPr>
        <w:t>less than</w:t>
      </w:r>
      <w:proofErr w:type="gramEnd"/>
      <w:r w:rsidRPr="00660493">
        <w:rPr>
          <w:rFonts w:ascii="Times New Roman" w:eastAsia="Arial" w:hAnsi="Times New Roman" w:cs="Times New Roman"/>
          <w:sz w:val="24"/>
          <w:szCs w:val="24"/>
        </w:rPr>
        <w:t xml:space="preserve">. In general, the ratio of TLG over the years has remained above 1.0, generally suggesting a company's ability to meet its immediate obligations without relying heavily on inventory sales. Particularly, in 2018 alone, it recorded 0.99 below the benchmark and then jumped to 2.25 the following year. However, the coefficient declined in 2021 and 2022 to 2.03 and 1.47, respectively, indicating a potential decrease in the company's ability to cover short-term obligations. The downward trend in the quick ratio from 2020 to 2022 raises some concerns about the company's liquidity position. </w:t>
      </w:r>
      <w:r w:rsidRPr="00660493">
        <w:rPr>
          <w:rFonts w:ascii="Times New Roman" w:eastAsia="Arial" w:hAnsi="Times New Roman" w:cs="Times New Roman"/>
          <w:sz w:val="24"/>
          <w:szCs w:val="24"/>
        </w:rPr>
        <w:lastRenderedPageBreak/>
        <w:t xml:space="preserve">A </w:t>
      </w:r>
      <w:r w:rsidR="00660493">
        <w:rPr>
          <w:rFonts w:ascii="Times New Roman" w:eastAsia="Arial" w:hAnsi="Times New Roman" w:cs="Times New Roman"/>
          <w:sz w:val="24"/>
          <w:szCs w:val="24"/>
        </w:rPr>
        <w:t>decreasing quick</w:t>
      </w:r>
      <w:r w:rsidRPr="00660493">
        <w:rPr>
          <w:rFonts w:ascii="Times New Roman" w:eastAsia="Arial" w:hAnsi="Times New Roman" w:cs="Times New Roman"/>
          <w:sz w:val="24"/>
          <w:szCs w:val="24"/>
        </w:rPr>
        <w:t xml:space="preserve"> ratio could indicate an increased reliance on less liquid assets or an underlying need to improve working capital management.</w:t>
      </w:r>
    </w:p>
    <w:p w14:paraId="5B961729" w14:textId="77777777" w:rsidR="0054545C" w:rsidRPr="00660493" w:rsidRDefault="00000000" w:rsidP="00EA0354">
      <w:pPr>
        <w:pStyle w:val="Heading3"/>
        <w:numPr>
          <w:ilvl w:val="0"/>
          <w:numId w:val="12"/>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Efficiency Ratios</w:t>
      </w:r>
    </w:p>
    <w:tbl>
      <w:tblPr>
        <w:tblStyle w:val="a3"/>
        <w:tblW w:w="91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6"/>
        <w:gridCol w:w="1017"/>
        <w:gridCol w:w="844"/>
        <w:gridCol w:w="844"/>
        <w:gridCol w:w="844"/>
        <w:gridCol w:w="844"/>
        <w:gridCol w:w="844"/>
      </w:tblGrid>
      <w:tr w:rsidR="0054545C" w:rsidRPr="00660493" w14:paraId="40750710" w14:textId="77777777">
        <w:trPr>
          <w:trHeight w:val="447"/>
          <w:jc w:val="center"/>
        </w:trPr>
        <w:tc>
          <w:tcPr>
            <w:tcW w:w="3907" w:type="dxa"/>
            <w:shd w:val="clear" w:color="auto" w:fill="C6E0B4"/>
            <w:tcMar>
              <w:top w:w="20" w:type="dxa"/>
              <w:left w:w="20" w:type="dxa"/>
              <w:bottom w:w="100" w:type="dxa"/>
              <w:right w:w="20" w:type="dxa"/>
            </w:tcMar>
            <w:vAlign w:val="center"/>
          </w:tcPr>
          <w:p w14:paraId="2803691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Operating Efficiency Indicators</w:t>
            </w:r>
          </w:p>
        </w:tc>
        <w:tc>
          <w:tcPr>
            <w:tcW w:w="1017" w:type="dxa"/>
            <w:shd w:val="clear" w:color="auto" w:fill="C6E0B4"/>
            <w:tcMar>
              <w:top w:w="20" w:type="dxa"/>
              <w:left w:w="20" w:type="dxa"/>
              <w:bottom w:w="100" w:type="dxa"/>
              <w:right w:w="20" w:type="dxa"/>
            </w:tcMar>
            <w:vAlign w:val="center"/>
          </w:tcPr>
          <w:p w14:paraId="25E3987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Average</w:t>
            </w:r>
          </w:p>
        </w:tc>
        <w:tc>
          <w:tcPr>
            <w:tcW w:w="844" w:type="dxa"/>
            <w:shd w:val="clear" w:color="auto" w:fill="70AD47"/>
            <w:tcMar>
              <w:top w:w="20" w:type="dxa"/>
              <w:left w:w="20" w:type="dxa"/>
              <w:bottom w:w="100" w:type="dxa"/>
              <w:right w:w="20" w:type="dxa"/>
            </w:tcMar>
            <w:vAlign w:val="center"/>
          </w:tcPr>
          <w:p w14:paraId="275C991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2018</w:t>
            </w:r>
          </w:p>
        </w:tc>
        <w:tc>
          <w:tcPr>
            <w:tcW w:w="844" w:type="dxa"/>
            <w:shd w:val="clear" w:color="auto" w:fill="70AD47"/>
            <w:tcMar>
              <w:top w:w="20" w:type="dxa"/>
              <w:left w:w="20" w:type="dxa"/>
              <w:bottom w:w="100" w:type="dxa"/>
              <w:right w:w="20" w:type="dxa"/>
            </w:tcMar>
            <w:vAlign w:val="center"/>
          </w:tcPr>
          <w:p w14:paraId="266915D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2019</w:t>
            </w:r>
          </w:p>
        </w:tc>
        <w:tc>
          <w:tcPr>
            <w:tcW w:w="844" w:type="dxa"/>
            <w:shd w:val="clear" w:color="auto" w:fill="70AD47"/>
            <w:tcMar>
              <w:top w:w="20" w:type="dxa"/>
              <w:left w:w="20" w:type="dxa"/>
              <w:bottom w:w="100" w:type="dxa"/>
              <w:right w:w="20" w:type="dxa"/>
            </w:tcMar>
            <w:vAlign w:val="center"/>
          </w:tcPr>
          <w:p w14:paraId="2877ABD4"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2020</w:t>
            </w:r>
          </w:p>
        </w:tc>
        <w:tc>
          <w:tcPr>
            <w:tcW w:w="844" w:type="dxa"/>
            <w:shd w:val="clear" w:color="auto" w:fill="70AD47"/>
            <w:tcMar>
              <w:top w:w="20" w:type="dxa"/>
              <w:left w:w="20" w:type="dxa"/>
              <w:bottom w:w="100" w:type="dxa"/>
              <w:right w:w="20" w:type="dxa"/>
            </w:tcMar>
            <w:vAlign w:val="center"/>
          </w:tcPr>
          <w:p w14:paraId="1207ABE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2021</w:t>
            </w:r>
          </w:p>
        </w:tc>
        <w:tc>
          <w:tcPr>
            <w:tcW w:w="844" w:type="dxa"/>
            <w:shd w:val="clear" w:color="auto" w:fill="70AD47"/>
            <w:tcMar>
              <w:top w:w="20" w:type="dxa"/>
              <w:left w:w="20" w:type="dxa"/>
              <w:bottom w:w="100" w:type="dxa"/>
              <w:right w:w="20" w:type="dxa"/>
            </w:tcMar>
            <w:vAlign w:val="center"/>
          </w:tcPr>
          <w:p w14:paraId="4B596B4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2022</w:t>
            </w:r>
          </w:p>
        </w:tc>
      </w:tr>
      <w:tr w:rsidR="0054545C" w:rsidRPr="00660493" w14:paraId="0BBA1BB6" w14:textId="77777777">
        <w:trPr>
          <w:trHeight w:val="465"/>
          <w:jc w:val="center"/>
        </w:trPr>
        <w:tc>
          <w:tcPr>
            <w:tcW w:w="3907" w:type="dxa"/>
            <w:tcMar>
              <w:top w:w="20" w:type="dxa"/>
              <w:left w:w="20" w:type="dxa"/>
              <w:bottom w:w="100" w:type="dxa"/>
              <w:right w:w="20" w:type="dxa"/>
            </w:tcMar>
            <w:vAlign w:val="center"/>
          </w:tcPr>
          <w:p w14:paraId="649CD83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Inventory Turnover</w:t>
            </w:r>
          </w:p>
        </w:tc>
        <w:tc>
          <w:tcPr>
            <w:tcW w:w="1017" w:type="dxa"/>
            <w:shd w:val="clear" w:color="auto" w:fill="E2EFDA"/>
            <w:tcMar>
              <w:top w:w="20" w:type="dxa"/>
              <w:left w:w="20" w:type="dxa"/>
              <w:bottom w:w="100" w:type="dxa"/>
              <w:right w:w="20" w:type="dxa"/>
            </w:tcMar>
            <w:vAlign w:val="center"/>
          </w:tcPr>
          <w:p w14:paraId="701F82E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2.81</w:t>
            </w:r>
          </w:p>
        </w:tc>
        <w:tc>
          <w:tcPr>
            <w:tcW w:w="844" w:type="dxa"/>
            <w:tcMar>
              <w:top w:w="20" w:type="dxa"/>
              <w:left w:w="20" w:type="dxa"/>
              <w:bottom w:w="100" w:type="dxa"/>
              <w:right w:w="20" w:type="dxa"/>
            </w:tcMar>
            <w:vAlign w:val="center"/>
          </w:tcPr>
          <w:p w14:paraId="03EED33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2.89</w:t>
            </w:r>
          </w:p>
        </w:tc>
        <w:tc>
          <w:tcPr>
            <w:tcW w:w="844" w:type="dxa"/>
            <w:tcMar>
              <w:top w:w="20" w:type="dxa"/>
              <w:left w:w="20" w:type="dxa"/>
              <w:bottom w:w="100" w:type="dxa"/>
              <w:right w:w="20" w:type="dxa"/>
            </w:tcMar>
            <w:vAlign w:val="center"/>
          </w:tcPr>
          <w:p w14:paraId="7C295DB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3.13</w:t>
            </w:r>
          </w:p>
        </w:tc>
        <w:tc>
          <w:tcPr>
            <w:tcW w:w="844" w:type="dxa"/>
            <w:tcMar>
              <w:top w:w="20" w:type="dxa"/>
              <w:left w:w="20" w:type="dxa"/>
              <w:bottom w:w="100" w:type="dxa"/>
              <w:right w:w="20" w:type="dxa"/>
            </w:tcMar>
            <w:vAlign w:val="center"/>
          </w:tcPr>
          <w:p w14:paraId="59FCF79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2.84</w:t>
            </w:r>
          </w:p>
        </w:tc>
        <w:tc>
          <w:tcPr>
            <w:tcW w:w="844" w:type="dxa"/>
            <w:tcMar>
              <w:top w:w="20" w:type="dxa"/>
              <w:left w:w="20" w:type="dxa"/>
              <w:bottom w:w="100" w:type="dxa"/>
              <w:right w:w="20" w:type="dxa"/>
            </w:tcMar>
            <w:vAlign w:val="center"/>
          </w:tcPr>
          <w:p w14:paraId="58B2579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2.45</w:t>
            </w:r>
          </w:p>
        </w:tc>
        <w:tc>
          <w:tcPr>
            <w:tcW w:w="844" w:type="dxa"/>
            <w:tcMar>
              <w:top w:w="20" w:type="dxa"/>
              <w:left w:w="20" w:type="dxa"/>
              <w:bottom w:w="100" w:type="dxa"/>
              <w:right w:w="20" w:type="dxa"/>
            </w:tcMar>
            <w:vAlign w:val="center"/>
          </w:tcPr>
          <w:p w14:paraId="4CD7BEA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2.44</w:t>
            </w:r>
          </w:p>
        </w:tc>
      </w:tr>
      <w:tr w:rsidR="0054545C" w:rsidRPr="00660493" w14:paraId="63B0038C" w14:textId="77777777">
        <w:trPr>
          <w:trHeight w:val="465"/>
          <w:jc w:val="center"/>
        </w:trPr>
        <w:tc>
          <w:tcPr>
            <w:tcW w:w="3907" w:type="dxa"/>
            <w:tcMar>
              <w:top w:w="20" w:type="dxa"/>
              <w:left w:w="20" w:type="dxa"/>
              <w:bottom w:w="100" w:type="dxa"/>
              <w:right w:w="20" w:type="dxa"/>
            </w:tcMar>
            <w:vAlign w:val="center"/>
          </w:tcPr>
          <w:p w14:paraId="7DC5BF1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Operating Cycle (Days)</w:t>
            </w:r>
          </w:p>
        </w:tc>
        <w:tc>
          <w:tcPr>
            <w:tcW w:w="1017" w:type="dxa"/>
            <w:shd w:val="clear" w:color="auto" w:fill="E2EFDA"/>
            <w:tcMar>
              <w:top w:w="20" w:type="dxa"/>
              <w:left w:w="20" w:type="dxa"/>
              <w:bottom w:w="100" w:type="dxa"/>
              <w:right w:w="20" w:type="dxa"/>
            </w:tcMar>
            <w:vAlign w:val="center"/>
          </w:tcPr>
          <w:p w14:paraId="2640315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11.80</w:t>
            </w:r>
          </w:p>
        </w:tc>
        <w:tc>
          <w:tcPr>
            <w:tcW w:w="844" w:type="dxa"/>
            <w:tcMar>
              <w:top w:w="20" w:type="dxa"/>
              <w:left w:w="20" w:type="dxa"/>
              <w:bottom w:w="100" w:type="dxa"/>
              <w:right w:w="20" w:type="dxa"/>
            </w:tcMar>
            <w:vAlign w:val="center"/>
          </w:tcPr>
          <w:p w14:paraId="07B0BC2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13.41</w:t>
            </w:r>
          </w:p>
        </w:tc>
        <w:tc>
          <w:tcPr>
            <w:tcW w:w="844" w:type="dxa"/>
            <w:tcMar>
              <w:top w:w="20" w:type="dxa"/>
              <w:left w:w="20" w:type="dxa"/>
              <w:bottom w:w="100" w:type="dxa"/>
              <w:right w:w="20" w:type="dxa"/>
            </w:tcMar>
            <w:vAlign w:val="center"/>
          </w:tcPr>
          <w:p w14:paraId="222FFCB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10.20</w:t>
            </w:r>
          </w:p>
        </w:tc>
        <w:tc>
          <w:tcPr>
            <w:tcW w:w="844" w:type="dxa"/>
            <w:tcMar>
              <w:top w:w="20" w:type="dxa"/>
              <w:left w:w="20" w:type="dxa"/>
              <w:bottom w:w="100" w:type="dxa"/>
              <w:right w:w="20" w:type="dxa"/>
            </w:tcMar>
            <w:vAlign w:val="center"/>
          </w:tcPr>
          <w:p w14:paraId="25FDCCD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8.23</w:t>
            </w:r>
          </w:p>
        </w:tc>
        <w:tc>
          <w:tcPr>
            <w:tcW w:w="844" w:type="dxa"/>
            <w:tcMar>
              <w:top w:w="20" w:type="dxa"/>
              <w:left w:w="20" w:type="dxa"/>
              <w:bottom w:w="100" w:type="dxa"/>
              <w:right w:w="20" w:type="dxa"/>
            </w:tcMar>
            <w:vAlign w:val="center"/>
          </w:tcPr>
          <w:p w14:paraId="14A768D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9.01</w:t>
            </w:r>
          </w:p>
        </w:tc>
        <w:tc>
          <w:tcPr>
            <w:tcW w:w="844" w:type="dxa"/>
            <w:tcMar>
              <w:top w:w="20" w:type="dxa"/>
              <w:left w:w="20" w:type="dxa"/>
              <w:bottom w:w="100" w:type="dxa"/>
              <w:right w:w="20" w:type="dxa"/>
            </w:tcMar>
            <w:vAlign w:val="center"/>
          </w:tcPr>
          <w:p w14:paraId="756CA2D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11.61</w:t>
            </w:r>
          </w:p>
        </w:tc>
      </w:tr>
      <w:tr w:rsidR="0054545C" w:rsidRPr="00660493" w14:paraId="0F0C212B" w14:textId="77777777">
        <w:trPr>
          <w:trHeight w:val="465"/>
          <w:jc w:val="center"/>
        </w:trPr>
        <w:tc>
          <w:tcPr>
            <w:tcW w:w="3907" w:type="dxa"/>
            <w:tcMar>
              <w:top w:w="20" w:type="dxa"/>
              <w:left w:w="20" w:type="dxa"/>
              <w:bottom w:w="100" w:type="dxa"/>
              <w:right w:w="20" w:type="dxa"/>
            </w:tcMar>
            <w:vAlign w:val="center"/>
          </w:tcPr>
          <w:p w14:paraId="7284EBF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Inventory Period</w:t>
            </w:r>
          </w:p>
        </w:tc>
        <w:tc>
          <w:tcPr>
            <w:tcW w:w="1017" w:type="dxa"/>
            <w:shd w:val="clear" w:color="auto" w:fill="E2EFDA"/>
            <w:tcMar>
              <w:top w:w="20" w:type="dxa"/>
              <w:left w:w="20" w:type="dxa"/>
              <w:bottom w:w="100" w:type="dxa"/>
              <w:right w:w="20" w:type="dxa"/>
            </w:tcMar>
            <w:vAlign w:val="center"/>
          </w:tcPr>
          <w:p w14:paraId="705E832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131.38</w:t>
            </w:r>
          </w:p>
        </w:tc>
        <w:tc>
          <w:tcPr>
            <w:tcW w:w="844" w:type="dxa"/>
            <w:tcMar>
              <w:top w:w="20" w:type="dxa"/>
              <w:left w:w="20" w:type="dxa"/>
              <w:bottom w:w="100" w:type="dxa"/>
              <w:right w:w="20" w:type="dxa"/>
            </w:tcMar>
            <w:vAlign w:val="center"/>
          </w:tcPr>
          <w:p w14:paraId="74DB6B2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126.23</w:t>
            </w:r>
          </w:p>
        </w:tc>
        <w:tc>
          <w:tcPr>
            <w:tcW w:w="844" w:type="dxa"/>
            <w:tcMar>
              <w:top w:w="20" w:type="dxa"/>
              <w:left w:w="20" w:type="dxa"/>
              <w:bottom w:w="100" w:type="dxa"/>
              <w:right w:w="20" w:type="dxa"/>
            </w:tcMar>
            <w:vAlign w:val="center"/>
          </w:tcPr>
          <w:p w14:paraId="20A9AEB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116.75</w:t>
            </w:r>
          </w:p>
        </w:tc>
        <w:tc>
          <w:tcPr>
            <w:tcW w:w="844" w:type="dxa"/>
            <w:tcMar>
              <w:top w:w="20" w:type="dxa"/>
              <w:left w:w="20" w:type="dxa"/>
              <w:bottom w:w="100" w:type="dxa"/>
              <w:right w:w="20" w:type="dxa"/>
            </w:tcMar>
            <w:vAlign w:val="center"/>
          </w:tcPr>
          <w:p w14:paraId="28A0D20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128.60</w:t>
            </w:r>
          </w:p>
        </w:tc>
        <w:tc>
          <w:tcPr>
            <w:tcW w:w="844" w:type="dxa"/>
            <w:tcMar>
              <w:top w:w="20" w:type="dxa"/>
              <w:left w:w="20" w:type="dxa"/>
              <w:bottom w:w="100" w:type="dxa"/>
              <w:right w:w="20" w:type="dxa"/>
            </w:tcMar>
            <w:vAlign w:val="center"/>
          </w:tcPr>
          <w:p w14:paraId="3CA6938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149.10</w:t>
            </w:r>
          </w:p>
        </w:tc>
        <w:tc>
          <w:tcPr>
            <w:tcW w:w="844" w:type="dxa"/>
            <w:tcMar>
              <w:top w:w="20" w:type="dxa"/>
              <w:left w:w="20" w:type="dxa"/>
              <w:bottom w:w="100" w:type="dxa"/>
              <w:right w:w="20" w:type="dxa"/>
            </w:tcMar>
            <w:vAlign w:val="center"/>
          </w:tcPr>
          <w:p w14:paraId="5D75E62C"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149.43</w:t>
            </w:r>
          </w:p>
        </w:tc>
      </w:tr>
      <w:tr w:rsidR="0054545C" w:rsidRPr="00660493" w14:paraId="498D8E0C" w14:textId="77777777">
        <w:trPr>
          <w:trHeight w:val="465"/>
          <w:jc w:val="center"/>
        </w:trPr>
        <w:tc>
          <w:tcPr>
            <w:tcW w:w="3907" w:type="dxa"/>
            <w:tcMar>
              <w:top w:w="20" w:type="dxa"/>
              <w:left w:w="20" w:type="dxa"/>
              <w:bottom w:w="100" w:type="dxa"/>
              <w:right w:w="20" w:type="dxa"/>
            </w:tcMar>
            <w:vAlign w:val="center"/>
          </w:tcPr>
          <w:p w14:paraId="5F6139C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Receivables Turnover</w:t>
            </w:r>
          </w:p>
        </w:tc>
        <w:tc>
          <w:tcPr>
            <w:tcW w:w="1017" w:type="dxa"/>
            <w:shd w:val="clear" w:color="auto" w:fill="E2EFDA"/>
            <w:tcMar>
              <w:top w:w="20" w:type="dxa"/>
              <w:left w:w="20" w:type="dxa"/>
              <w:bottom w:w="100" w:type="dxa"/>
              <w:right w:w="20" w:type="dxa"/>
            </w:tcMar>
            <w:vAlign w:val="center"/>
          </w:tcPr>
          <w:p w14:paraId="2FF241E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8.99</w:t>
            </w:r>
          </w:p>
        </w:tc>
        <w:tc>
          <w:tcPr>
            <w:tcW w:w="844" w:type="dxa"/>
            <w:tcMar>
              <w:top w:w="20" w:type="dxa"/>
              <w:left w:w="20" w:type="dxa"/>
              <w:bottom w:w="100" w:type="dxa"/>
              <w:right w:w="20" w:type="dxa"/>
            </w:tcMar>
            <w:vAlign w:val="center"/>
          </w:tcPr>
          <w:p w14:paraId="7BD67CF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10.52</w:t>
            </w:r>
          </w:p>
        </w:tc>
        <w:tc>
          <w:tcPr>
            <w:tcW w:w="844" w:type="dxa"/>
            <w:tcMar>
              <w:top w:w="20" w:type="dxa"/>
              <w:left w:w="20" w:type="dxa"/>
              <w:bottom w:w="100" w:type="dxa"/>
              <w:right w:w="20" w:type="dxa"/>
            </w:tcMar>
            <w:vAlign w:val="center"/>
          </w:tcPr>
          <w:p w14:paraId="6E846E2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7.08</w:t>
            </w:r>
          </w:p>
        </w:tc>
        <w:tc>
          <w:tcPr>
            <w:tcW w:w="844" w:type="dxa"/>
            <w:tcMar>
              <w:top w:w="20" w:type="dxa"/>
              <w:left w:w="20" w:type="dxa"/>
              <w:bottom w:w="100" w:type="dxa"/>
              <w:right w:w="20" w:type="dxa"/>
            </w:tcMar>
            <w:vAlign w:val="center"/>
          </w:tcPr>
          <w:p w14:paraId="69830CB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5.39</w:t>
            </w:r>
          </w:p>
        </w:tc>
        <w:tc>
          <w:tcPr>
            <w:tcW w:w="844" w:type="dxa"/>
            <w:tcMar>
              <w:top w:w="20" w:type="dxa"/>
              <w:left w:w="20" w:type="dxa"/>
              <w:bottom w:w="100" w:type="dxa"/>
              <w:right w:w="20" w:type="dxa"/>
            </w:tcMar>
            <w:vAlign w:val="center"/>
          </w:tcPr>
          <w:p w14:paraId="638B78A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6.56</w:t>
            </w:r>
          </w:p>
        </w:tc>
        <w:tc>
          <w:tcPr>
            <w:tcW w:w="844" w:type="dxa"/>
            <w:tcMar>
              <w:top w:w="20" w:type="dxa"/>
              <w:left w:w="20" w:type="dxa"/>
              <w:bottom w:w="100" w:type="dxa"/>
              <w:right w:w="20" w:type="dxa"/>
            </w:tcMar>
            <w:vAlign w:val="center"/>
          </w:tcPr>
          <w:p w14:paraId="78A0BD5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9.16</w:t>
            </w:r>
          </w:p>
        </w:tc>
      </w:tr>
      <w:tr w:rsidR="0054545C" w:rsidRPr="00660493" w14:paraId="623711FA" w14:textId="77777777">
        <w:trPr>
          <w:trHeight w:val="465"/>
          <w:jc w:val="center"/>
        </w:trPr>
        <w:tc>
          <w:tcPr>
            <w:tcW w:w="3907" w:type="dxa"/>
            <w:tcMar>
              <w:top w:w="20" w:type="dxa"/>
              <w:left w:w="20" w:type="dxa"/>
              <w:bottom w:w="100" w:type="dxa"/>
              <w:right w:w="20" w:type="dxa"/>
            </w:tcMar>
            <w:vAlign w:val="center"/>
          </w:tcPr>
          <w:p w14:paraId="568F468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Accounts Receivable Period</w:t>
            </w:r>
          </w:p>
        </w:tc>
        <w:tc>
          <w:tcPr>
            <w:tcW w:w="1017" w:type="dxa"/>
            <w:shd w:val="clear" w:color="auto" w:fill="E2EFDA"/>
            <w:tcMar>
              <w:top w:w="20" w:type="dxa"/>
              <w:left w:w="20" w:type="dxa"/>
              <w:bottom w:w="100" w:type="dxa"/>
              <w:right w:w="20" w:type="dxa"/>
            </w:tcMar>
            <w:vAlign w:val="center"/>
          </w:tcPr>
          <w:p w14:paraId="5191F05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45.57</w:t>
            </w:r>
          </w:p>
        </w:tc>
        <w:tc>
          <w:tcPr>
            <w:tcW w:w="844" w:type="dxa"/>
            <w:tcMar>
              <w:top w:w="20" w:type="dxa"/>
              <w:left w:w="20" w:type="dxa"/>
              <w:bottom w:w="100" w:type="dxa"/>
              <w:right w:w="20" w:type="dxa"/>
            </w:tcMar>
            <w:vAlign w:val="center"/>
          </w:tcPr>
          <w:p w14:paraId="66BE8CD4"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34.69</w:t>
            </w:r>
          </w:p>
        </w:tc>
        <w:tc>
          <w:tcPr>
            <w:tcW w:w="844" w:type="dxa"/>
            <w:tcMar>
              <w:top w:w="20" w:type="dxa"/>
              <w:left w:w="20" w:type="dxa"/>
              <w:bottom w:w="100" w:type="dxa"/>
              <w:right w:w="20" w:type="dxa"/>
            </w:tcMar>
            <w:vAlign w:val="center"/>
          </w:tcPr>
          <w:p w14:paraId="372D7C94"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51.59</w:t>
            </w:r>
          </w:p>
        </w:tc>
        <w:tc>
          <w:tcPr>
            <w:tcW w:w="844" w:type="dxa"/>
            <w:tcMar>
              <w:top w:w="20" w:type="dxa"/>
              <w:left w:w="20" w:type="dxa"/>
              <w:bottom w:w="100" w:type="dxa"/>
              <w:right w:w="20" w:type="dxa"/>
            </w:tcMar>
            <w:vAlign w:val="center"/>
          </w:tcPr>
          <w:p w14:paraId="6711124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67.74</w:t>
            </w:r>
          </w:p>
        </w:tc>
        <w:tc>
          <w:tcPr>
            <w:tcW w:w="844" w:type="dxa"/>
            <w:tcMar>
              <w:top w:w="20" w:type="dxa"/>
              <w:left w:w="20" w:type="dxa"/>
              <w:bottom w:w="100" w:type="dxa"/>
              <w:right w:w="20" w:type="dxa"/>
            </w:tcMar>
            <w:vAlign w:val="center"/>
          </w:tcPr>
          <w:p w14:paraId="14F6355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55.63</w:t>
            </w:r>
          </w:p>
        </w:tc>
        <w:tc>
          <w:tcPr>
            <w:tcW w:w="844" w:type="dxa"/>
            <w:tcMar>
              <w:top w:w="20" w:type="dxa"/>
              <w:left w:w="20" w:type="dxa"/>
              <w:bottom w:w="100" w:type="dxa"/>
              <w:right w:w="20" w:type="dxa"/>
            </w:tcMar>
            <w:vAlign w:val="center"/>
          </w:tcPr>
          <w:p w14:paraId="4467EE8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39.83</w:t>
            </w:r>
          </w:p>
        </w:tc>
      </w:tr>
      <w:tr w:rsidR="0054545C" w:rsidRPr="00660493" w14:paraId="62A5ABEE" w14:textId="77777777">
        <w:trPr>
          <w:trHeight w:val="465"/>
          <w:jc w:val="center"/>
        </w:trPr>
        <w:tc>
          <w:tcPr>
            <w:tcW w:w="3907" w:type="dxa"/>
            <w:tcMar>
              <w:top w:w="20" w:type="dxa"/>
              <w:left w:w="20" w:type="dxa"/>
              <w:bottom w:w="100" w:type="dxa"/>
              <w:right w:w="20" w:type="dxa"/>
            </w:tcMar>
            <w:vAlign w:val="center"/>
          </w:tcPr>
          <w:p w14:paraId="75B9889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Cash Conversion Cycle (Days)</w:t>
            </w:r>
          </w:p>
        </w:tc>
        <w:tc>
          <w:tcPr>
            <w:tcW w:w="1017" w:type="dxa"/>
            <w:shd w:val="clear" w:color="auto" w:fill="E2EFDA"/>
            <w:tcMar>
              <w:top w:w="20" w:type="dxa"/>
              <w:left w:w="20" w:type="dxa"/>
              <w:bottom w:w="100" w:type="dxa"/>
              <w:right w:w="20" w:type="dxa"/>
            </w:tcMar>
            <w:vAlign w:val="center"/>
          </w:tcPr>
          <w:p w14:paraId="69BA3B2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206.21</w:t>
            </w:r>
          </w:p>
        </w:tc>
        <w:tc>
          <w:tcPr>
            <w:tcW w:w="844" w:type="dxa"/>
            <w:tcMar>
              <w:top w:w="20" w:type="dxa"/>
              <w:left w:w="20" w:type="dxa"/>
              <w:bottom w:w="100" w:type="dxa"/>
              <w:right w:w="20" w:type="dxa"/>
            </w:tcMar>
            <w:vAlign w:val="center"/>
          </w:tcPr>
          <w:p w14:paraId="287D5F9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186.34</w:t>
            </w:r>
          </w:p>
        </w:tc>
        <w:tc>
          <w:tcPr>
            <w:tcW w:w="844" w:type="dxa"/>
            <w:tcMar>
              <w:top w:w="20" w:type="dxa"/>
              <w:left w:w="20" w:type="dxa"/>
              <w:bottom w:w="100" w:type="dxa"/>
              <w:right w:w="20" w:type="dxa"/>
            </w:tcMar>
            <w:vAlign w:val="center"/>
          </w:tcPr>
          <w:p w14:paraId="6CC9758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192.39</w:t>
            </w:r>
          </w:p>
        </w:tc>
        <w:tc>
          <w:tcPr>
            <w:tcW w:w="844" w:type="dxa"/>
            <w:tcMar>
              <w:top w:w="20" w:type="dxa"/>
              <w:left w:w="20" w:type="dxa"/>
              <w:bottom w:w="100" w:type="dxa"/>
              <w:right w:w="20" w:type="dxa"/>
            </w:tcMar>
            <w:vAlign w:val="center"/>
          </w:tcPr>
          <w:p w14:paraId="07ADB88C"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222.93</w:t>
            </w:r>
          </w:p>
        </w:tc>
        <w:tc>
          <w:tcPr>
            <w:tcW w:w="844" w:type="dxa"/>
            <w:tcMar>
              <w:top w:w="20" w:type="dxa"/>
              <w:left w:w="20" w:type="dxa"/>
              <w:bottom w:w="100" w:type="dxa"/>
              <w:right w:w="20" w:type="dxa"/>
            </w:tcMar>
            <w:vAlign w:val="center"/>
          </w:tcPr>
          <w:p w14:paraId="2E8D8EE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236.76</w:t>
            </w:r>
          </w:p>
        </w:tc>
        <w:tc>
          <w:tcPr>
            <w:tcW w:w="844" w:type="dxa"/>
            <w:tcMar>
              <w:top w:w="20" w:type="dxa"/>
              <w:left w:w="20" w:type="dxa"/>
              <w:bottom w:w="100" w:type="dxa"/>
              <w:right w:w="20" w:type="dxa"/>
            </w:tcMar>
            <w:vAlign w:val="center"/>
          </w:tcPr>
          <w:p w14:paraId="07AF142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228.14</w:t>
            </w:r>
          </w:p>
        </w:tc>
      </w:tr>
    </w:tbl>
    <w:p w14:paraId="08C1C266" w14:textId="77777777" w:rsidR="0054545C" w:rsidRPr="00660493" w:rsidRDefault="0054545C" w:rsidP="00EA0354">
      <w:pPr>
        <w:spacing w:after="240" w:line="360" w:lineRule="auto"/>
        <w:jc w:val="both"/>
        <w:rPr>
          <w:rFonts w:ascii="Times New Roman" w:eastAsia="Arial" w:hAnsi="Times New Roman" w:cs="Times New Roman"/>
          <w:sz w:val="24"/>
          <w:szCs w:val="24"/>
        </w:rPr>
      </w:pPr>
    </w:p>
    <w:p w14:paraId="0C4B7CFA" w14:textId="77777777" w:rsidR="0054545C" w:rsidRPr="00660493" w:rsidRDefault="00000000" w:rsidP="00EA0354">
      <w:pPr>
        <w:spacing w:after="10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Inventory turnover is an indicator of the sales speed of a business. The higher this ratio, the higher the revenue the business has, and vice versa, the business will show it has weak revenue if the ratio is low. For Thien Long Group, this coefficient is always positive, showing that TLG is effectively managing its inventory and can sell and replace inventory at a moderate rate of 2.44 to 3.13. The company's inventory turnover ratios show a consistent pattern over the years, with minor fluctuations. This indicates that Thien Long Group has been able to maintain a steady level of inventory management performance during this period. The inventory turnover ratios of TLG fall below the ideal benchmark of 4 to 6 for most industries (Kuuse, 2020), indicating that Thien Long Group could potentially improve its inventory management efficiency. </w:t>
      </w:r>
    </w:p>
    <w:p w14:paraId="470645F5" w14:textId="72F44A19"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br/>
        <w:t xml:space="preserve">The cash conversion cycle (CCC) indicates the amount of time it takes for a company to convert its inventory investments into cash. As displayed in the Table (...), there was an upward trend showing TLG operated its cash conversion cycle ranging from 186.34 to 236.76. This means it </w:t>
      </w:r>
      <w:proofErr w:type="gramStart"/>
      <w:r w:rsidRPr="00660493">
        <w:rPr>
          <w:rFonts w:ascii="Times New Roman" w:eastAsia="Arial" w:hAnsi="Times New Roman" w:cs="Times New Roman"/>
          <w:sz w:val="24"/>
          <w:szCs w:val="24"/>
        </w:rPr>
        <w:t>takes</w:t>
      </w:r>
      <w:proofErr w:type="gramEnd"/>
      <w:r w:rsidRPr="00660493">
        <w:rPr>
          <w:rFonts w:ascii="Times New Roman" w:eastAsia="Arial" w:hAnsi="Times New Roman" w:cs="Times New Roman"/>
          <w:sz w:val="24"/>
          <w:szCs w:val="24"/>
        </w:rPr>
        <w:t xml:space="preserve"> the company several months to convert its inventory investments and accounts receivable into cash flow from sales. Nevertheless, CCC tends to increase over the </w:t>
      </w:r>
      <w:r w:rsidR="00660493" w:rsidRPr="00660493">
        <w:rPr>
          <w:rFonts w:ascii="Times New Roman" w:eastAsia="Arial" w:hAnsi="Times New Roman" w:cs="Times New Roman"/>
          <w:sz w:val="24"/>
          <w:szCs w:val="24"/>
        </w:rPr>
        <w:t>years,</w:t>
      </w:r>
      <w:r w:rsidRPr="00660493">
        <w:rPr>
          <w:rFonts w:ascii="Times New Roman" w:eastAsia="Arial" w:hAnsi="Times New Roman" w:cs="Times New Roman"/>
          <w:sz w:val="24"/>
          <w:szCs w:val="24"/>
        </w:rPr>
        <w:t xml:space="preserve"> indicating potential challenges in working capital management. It is conceivable that Thien Long Group may be </w:t>
      </w:r>
      <w:r w:rsidRPr="00660493">
        <w:rPr>
          <w:rFonts w:ascii="Times New Roman" w:eastAsia="Arial" w:hAnsi="Times New Roman" w:cs="Times New Roman"/>
          <w:sz w:val="24"/>
          <w:szCs w:val="24"/>
        </w:rPr>
        <w:lastRenderedPageBreak/>
        <w:t>hoarding a substantial amount of capital in its operations, including inventory and accounts receivable, for a long period of time before generating cash inflows.</w:t>
      </w:r>
    </w:p>
    <w:p w14:paraId="56B69840" w14:textId="77777777" w:rsidR="0054545C" w:rsidRPr="00660493" w:rsidRDefault="00000000" w:rsidP="00EA0354">
      <w:pPr>
        <w:spacing w:line="360" w:lineRule="auto"/>
        <w:jc w:val="both"/>
        <w:rPr>
          <w:rFonts w:ascii="Times New Roman" w:eastAsia="Arial" w:hAnsi="Times New Roman" w:cs="Times New Roman"/>
          <w:sz w:val="24"/>
          <w:szCs w:val="24"/>
        </w:rPr>
      </w:pPr>
      <w:r w:rsidRPr="00660493">
        <w:rPr>
          <w:rFonts w:ascii="Times New Roman" w:hAnsi="Times New Roman" w:cs="Times New Roman"/>
          <w:sz w:val="24"/>
          <w:szCs w:val="24"/>
        </w:rPr>
        <w:br w:type="page"/>
      </w:r>
    </w:p>
    <w:p w14:paraId="35FBBDB2" w14:textId="77777777" w:rsidR="0054545C" w:rsidRPr="00660493" w:rsidRDefault="0054545C" w:rsidP="00EA0354">
      <w:pPr>
        <w:spacing w:line="360" w:lineRule="auto"/>
        <w:jc w:val="both"/>
        <w:rPr>
          <w:rFonts w:ascii="Times New Roman" w:eastAsia="Arial" w:hAnsi="Times New Roman" w:cs="Times New Roman"/>
          <w:sz w:val="24"/>
          <w:szCs w:val="24"/>
        </w:rPr>
      </w:pPr>
    </w:p>
    <w:p w14:paraId="15A92577" w14:textId="77777777" w:rsidR="0054545C" w:rsidRPr="00660493" w:rsidRDefault="00000000" w:rsidP="00EA0354">
      <w:pPr>
        <w:pStyle w:val="Heading3"/>
        <w:numPr>
          <w:ilvl w:val="0"/>
          <w:numId w:val="12"/>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Solvency Ratios</w:t>
      </w:r>
    </w:p>
    <w:tbl>
      <w:tblPr>
        <w:tblStyle w:val="a4"/>
        <w:tblW w:w="8962" w:type="dxa"/>
        <w:tblLayout w:type="fixed"/>
        <w:tblLook w:val="0400" w:firstRow="0" w:lastRow="0" w:firstColumn="0" w:lastColumn="0" w:noHBand="0" w:noVBand="1"/>
      </w:tblPr>
      <w:tblGrid>
        <w:gridCol w:w="4191"/>
        <w:gridCol w:w="1016"/>
        <w:gridCol w:w="751"/>
        <w:gridCol w:w="751"/>
        <w:gridCol w:w="751"/>
        <w:gridCol w:w="751"/>
        <w:gridCol w:w="751"/>
      </w:tblGrid>
      <w:tr w:rsidR="0054545C" w:rsidRPr="00660493" w14:paraId="3D00E262" w14:textId="77777777">
        <w:trPr>
          <w:trHeight w:val="354"/>
        </w:trPr>
        <w:tc>
          <w:tcPr>
            <w:tcW w:w="419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50F0ADE" w14:textId="77777777" w:rsidR="0054545C" w:rsidRPr="00660493" w:rsidRDefault="0054545C" w:rsidP="00EA0354">
            <w:pPr>
              <w:spacing w:after="0" w:line="360" w:lineRule="auto"/>
              <w:jc w:val="both"/>
              <w:rPr>
                <w:rFonts w:ascii="Times New Roman" w:eastAsia="Arial" w:hAnsi="Times New Roman" w:cs="Times New Roman"/>
                <w:sz w:val="24"/>
                <w:szCs w:val="24"/>
              </w:rPr>
            </w:pP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D20A8C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Average</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8F8F5F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2018</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20042B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2019</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F0C65B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2020</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9A6BAE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2021</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C5DFEB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2022</w:t>
            </w:r>
          </w:p>
        </w:tc>
      </w:tr>
      <w:tr w:rsidR="0054545C" w:rsidRPr="00660493" w14:paraId="44F70384" w14:textId="77777777">
        <w:trPr>
          <w:trHeight w:val="335"/>
        </w:trPr>
        <w:tc>
          <w:tcPr>
            <w:tcW w:w="419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5F99CD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Debt/Assets</w:t>
            </w: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403031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0.09</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29AE73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0.12</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BA522F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0.09</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93B2C7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0.08</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E2640D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0.08</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C92C0B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0.09</w:t>
            </w:r>
          </w:p>
        </w:tc>
      </w:tr>
      <w:tr w:rsidR="0054545C" w:rsidRPr="00660493" w14:paraId="2B30DAC5" w14:textId="77777777">
        <w:trPr>
          <w:trHeight w:val="335"/>
        </w:trPr>
        <w:tc>
          <w:tcPr>
            <w:tcW w:w="419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34EC82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Debt/Equity</w:t>
            </w: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0615AE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0.13</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1E94ED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0.18</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E82A92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0.12</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59F5014"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0.10</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BCFC7D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0.10</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D323BE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0.13</w:t>
            </w:r>
          </w:p>
        </w:tc>
      </w:tr>
      <w:tr w:rsidR="0054545C" w:rsidRPr="00660493" w14:paraId="57E1F4C7" w14:textId="77777777">
        <w:trPr>
          <w:trHeight w:val="857"/>
        </w:trPr>
        <w:tc>
          <w:tcPr>
            <w:tcW w:w="419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C4586D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EBIT/Interest expense (Interest Coverage ratio)</w:t>
            </w: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252C6B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41.07</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C9D2CF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34.27</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4D2260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39.20</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D0A3D94"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26.62</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CE9187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52.08</w:t>
            </w:r>
          </w:p>
        </w:tc>
        <w:tc>
          <w:tcPr>
            <w:tcW w:w="75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55CE5A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58.05</w:t>
            </w:r>
          </w:p>
        </w:tc>
      </w:tr>
    </w:tbl>
    <w:p w14:paraId="1278655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w:t>
      </w:r>
    </w:p>
    <w:p w14:paraId="2FD4756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Financial leverage strengthens the power of every dollar business invests through enjoying tax deduction. Therefore, many firms choose debts to finance their operations despite high potential risk. To avoid risk, TLG maintains a more conservative ratio of leverage. In detail, debt-to-asset and debt-to-equity ratio are around 0.09 and 0.13 respectively and tend to slightly decrease. The capital structure of TLG is nearly stable because there is no major change in these two ratios. </w:t>
      </w:r>
    </w:p>
    <w:p w14:paraId="04A9A0A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w:t>
      </w:r>
    </w:p>
    <w:p w14:paraId="7A8405A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On the other hand, a firm's capability of servicing interest expense coming due through EBIT can be measured through interest coverage ratio. During the period, a high ratio indicates that TLG had enough profits available to pay debts despite a drop in 2020 with 26.62. </w:t>
      </w:r>
    </w:p>
    <w:p w14:paraId="35D97DE2" w14:textId="77777777" w:rsidR="0054545C" w:rsidRPr="00660493" w:rsidRDefault="0054545C" w:rsidP="00EA0354">
      <w:pPr>
        <w:spacing w:after="0" w:line="360" w:lineRule="auto"/>
        <w:jc w:val="both"/>
        <w:rPr>
          <w:rFonts w:ascii="Times New Roman" w:eastAsia="Arial" w:hAnsi="Times New Roman" w:cs="Times New Roman"/>
          <w:sz w:val="24"/>
          <w:szCs w:val="24"/>
        </w:rPr>
      </w:pPr>
    </w:p>
    <w:p w14:paraId="73BF1327" w14:textId="77777777" w:rsidR="0054545C" w:rsidRPr="00660493" w:rsidRDefault="00000000" w:rsidP="00EA0354">
      <w:pPr>
        <w:pStyle w:val="Heading3"/>
        <w:numPr>
          <w:ilvl w:val="0"/>
          <w:numId w:val="12"/>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Profitability Ratio</w:t>
      </w:r>
    </w:p>
    <w:tbl>
      <w:tblPr>
        <w:tblStyle w:val="a5"/>
        <w:tblW w:w="8155" w:type="dxa"/>
        <w:tblLayout w:type="fixed"/>
        <w:tblLook w:val="0400" w:firstRow="0" w:lastRow="0" w:firstColumn="0" w:lastColumn="0" w:noHBand="0" w:noVBand="1"/>
      </w:tblPr>
      <w:tblGrid>
        <w:gridCol w:w="2404"/>
        <w:gridCol w:w="1016"/>
        <w:gridCol w:w="947"/>
        <w:gridCol w:w="947"/>
        <w:gridCol w:w="947"/>
        <w:gridCol w:w="947"/>
        <w:gridCol w:w="947"/>
      </w:tblGrid>
      <w:tr w:rsidR="0054545C" w:rsidRPr="00660493" w14:paraId="168379B4" w14:textId="77777777">
        <w:trPr>
          <w:trHeight w:val="241"/>
        </w:trPr>
        <w:tc>
          <w:tcPr>
            <w:tcW w:w="24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44EA706" w14:textId="77777777" w:rsidR="0054545C" w:rsidRPr="00660493" w:rsidRDefault="0054545C" w:rsidP="00EA0354">
            <w:pPr>
              <w:spacing w:after="0" w:line="360" w:lineRule="auto"/>
              <w:jc w:val="both"/>
              <w:rPr>
                <w:rFonts w:ascii="Times New Roman" w:eastAsia="Arial" w:hAnsi="Times New Roman" w:cs="Times New Roman"/>
                <w:sz w:val="24"/>
                <w:szCs w:val="24"/>
              </w:rPr>
            </w:pP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86A3B5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Average</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E7442BC"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2018</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D31325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2019</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364F9C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2020</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3D081F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2021</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116E60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2022</w:t>
            </w:r>
          </w:p>
        </w:tc>
      </w:tr>
      <w:tr w:rsidR="0054545C" w:rsidRPr="00660493" w14:paraId="2CDEBBA0" w14:textId="77777777">
        <w:trPr>
          <w:trHeight w:val="470"/>
        </w:trPr>
        <w:tc>
          <w:tcPr>
            <w:tcW w:w="24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CE0BC3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Gross Margin</w:t>
            </w: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4A265CC"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39.24%</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52823B1"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37.35%</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FEE1C5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36.82%</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CC0E8D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38.36%</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FB0D69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42.24%</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E256D4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43.29%</w:t>
            </w:r>
          </w:p>
        </w:tc>
      </w:tr>
      <w:tr w:rsidR="0054545C" w:rsidRPr="00660493" w14:paraId="4D8865F0" w14:textId="77777777">
        <w:trPr>
          <w:trHeight w:val="470"/>
        </w:trPr>
        <w:tc>
          <w:tcPr>
            <w:tcW w:w="24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7D0B9D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EBITDA Margin</w:t>
            </w: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D759F2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16.02%</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468852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15.59%</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8C8C9A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16.17%</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9EE385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14.75%</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52F3F52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16.85%</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4110F64"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16.99%</w:t>
            </w:r>
          </w:p>
        </w:tc>
      </w:tr>
      <w:tr w:rsidR="0054545C" w:rsidRPr="00660493" w14:paraId="181EE527" w14:textId="77777777">
        <w:trPr>
          <w:trHeight w:val="699"/>
        </w:trPr>
        <w:tc>
          <w:tcPr>
            <w:tcW w:w="24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4BB96B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Net profit Margin</w:t>
            </w: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B91748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10.41%</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62FF93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10.31%</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977B5B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10.73%</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0082794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8.93%</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8729BB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10.37%</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FCD756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11.39%</w:t>
            </w:r>
          </w:p>
        </w:tc>
      </w:tr>
      <w:tr w:rsidR="0054545C" w:rsidRPr="00660493" w14:paraId="0CFC3327" w14:textId="77777777">
        <w:trPr>
          <w:trHeight w:val="930"/>
        </w:trPr>
        <w:tc>
          <w:tcPr>
            <w:tcW w:w="24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449BF6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Return on Assets (ROA)</w:t>
            </w: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C4132D4"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15.03%</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C47C97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16.40%</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69084A3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14.44%</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E133F1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10.36%</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368813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11.31%</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B32F56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13.97%</w:t>
            </w:r>
          </w:p>
        </w:tc>
      </w:tr>
      <w:tr w:rsidR="0054545C" w:rsidRPr="00660493" w14:paraId="1F346B19" w14:textId="77777777">
        <w:trPr>
          <w:trHeight w:val="930"/>
        </w:trPr>
        <w:tc>
          <w:tcPr>
            <w:tcW w:w="24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243196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Return on Equity (ROE)</w:t>
            </w:r>
          </w:p>
        </w:tc>
        <w:tc>
          <w:tcPr>
            <w:tcW w:w="1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331C9F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21.16%</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81E3B9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23.20%</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AE0B31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19.32%</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2942A19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13.72%</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C3EE95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15.16%</w:t>
            </w:r>
          </w:p>
        </w:tc>
        <w:tc>
          <w:tcPr>
            <w:tcW w:w="9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48A784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20.48%</w:t>
            </w:r>
          </w:p>
        </w:tc>
      </w:tr>
    </w:tbl>
    <w:p w14:paraId="38FD5FDF"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w:t>
      </w:r>
    </w:p>
    <w:p w14:paraId="6B53B3E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lastRenderedPageBreak/>
        <w:t>TLG’s gross margin experienced a slight drop from 2018 to 2020, then recovered and reached 43.29% in 2022, increased by 16% compared to 37.35% in 2018. In 2019, gross margin reached the bottom of 36.82% because of an increase in raw material during Covid-19 period. Similarly, the EBITDA margin slightly increased by 7.74% after hitting the bottom of 14.75% in 2020. The efficiency of TLG’s operation strategy did not make fortune when a small increase was seen in the net profit margin. </w:t>
      </w:r>
    </w:p>
    <w:p w14:paraId="052A2A4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w:t>
      </w:r>
    </w:p>
    <w:p w14:paraId="3DA4621F" w14:textId="79354ED6"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As for return on </w:t>
      </w:r>
      <w:r w:rsidR="00660493" w:rsidRPr="00660493">
        <w:rPr>
          <w:rFonts w:ascii="Times New Roman" w:eastAsia="Arial" w:hAnsi="Times New Roman" w:cs="Times New Roman"/>
          <w:sz w:val="24"/>
          <w:szCs w:val="24"/>
        </w:rPr>
        <w:t>assets</w:t>
      </w:r>
      <w:r w:rsidRPr="00660493">
        <w:rPr>
          <w:rFonts w:ascii="Times New Roman" w:eastAsia="Arial" w:hAnsi="Times New Roman" w:cs="Times New Roman"/>
          <w:sz w:val="24"/>
          <w:szCs w:val="24"/>
        </w:rPr>
        <w:t xml:space="preserve"> (ROA), TLG experienced a slight decrease in the period between 2018 and 2022. In detail, this ratio started at 16.40% in 2018, then continuously decreased and reached 13.97% in 2022. The reason behind this decrease in ROA is that TLG invested in more assets, which beat the growth of EBIT. In addition, EBIT growth during this period was curbed by the outbreak of Covid-19. However, in 2022, this ratio tended to recover when TLG improved their profits, which nearly balanced the gap between asset growth and EBIT growth. </w:t>
      </w:r>
    </w:p>
    <w:p w14:paraId="66551CEC"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w:t>
      </w:r>
    </w:p>
    <w:p w14:paraId="6A436585" w14:textId="2185B9DD"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In terms of Return on equity (ROE), TLG saw the same trend as its ROA from 2018 to 2022. ROE dramatically decreased by 40.86% from 2018 to 2020, then rising to 20.48% at the end of the estimated period. The primary reason for this is the huge loss of TLG’s EBIT during the Covid-19 outbreak when educational institutions and offices stopped working, thus limiting the demand for stationery. However, after witnessing the decline from 2018 to 2020, some optimistic signs were recorded when ROE recovered and reached the final one of 20.48% in 2022. </w:t>
      </w:r>
    </w:p>
    <w:p w14:paraId="369A8CB6" w14:textId="77777777" w:rsidR="0054545C" w:rsidRPr="00660493" w:rsidRDefault="00000000" w:rsidP="00EA0354">
      <w:pPr>
        <w:pStyle w:val="Heading3"/>
        <w:numPr>
          <w:ilvl w:val="0"/>
          <w:numId w:val="12"/>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Market Ratio</w:t>
      </w:r>
    </w:p>
    <w:tbl>
      <w:tblPr>
        <w:tblStyle w:val="a6"/>
        <w:tblW w:w="7094" w:type="dxa"/>
        <w:tblLayout w:type="fixed"/>
        <w:tblLook w:val="0400" w:firstRow="0" w:lastRow="0" w:firstColumn="0" w:lastColumn="0" w:noHBand="0" w:noVBand="1"/>
      </w:tblPr>
      <w:tblGrid>
        <w:gridCol w:w="984"/>
        <w:gridCol w:w="1088"/>
        <w:gridCol w:w="1199"/>
        <w:gridCol w:w="1311"/>
        <w:gridCol w:w="1311"/>
        <w:gridCol w:w="1201"/>
      </w:tblGrid>
      <w:tr w:rsidR="0054545C" w:rsidRPr="00660493" w14:paraId="02FAC29F" w14:textId="77777777">
        <w:trPr>
          <w:trHeight w:val="455"/>
        </w:trPr>
        <w:tc>
          <w:tcPr>
            <w:tcW w:w="9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150373"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w:t>
            </w:r>
          </w:p>
        </w:tc>
        <w:tc>
          <w:tcPr>
            <w:tcW w:w="10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322AB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2018</w:t>
            </w:r>
          </w:p>
        </w:tc>
        <w:tc>
          <w:tcPr>
            <w:tcW w:w="11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9E9E4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2019</w:t>
            </w:r>
          </w:p>
        </w:tc>
        <w:tc>
          <w:tcPr>
            <w:tcW w:w="13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2BE3A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2020</w:t>
            </w:r>
          </w:p>
        </w:tc>
        <w:tc>
          <w:tcPr>
            <w:tcW w:w="13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C9B59E"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2021</w:t>
            </w:r>
          </w:p>
        </w:tc>
        <w:tc>
          <w:tcPr>
            <w:tcW w:w="12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494577"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2022</w:t>
            </w:r>
          </w:p>
        </w:tc>
      </w:tr>
      <w:tr w:rsidR="0054545C" w:rsidRPr="00660493" w14:paraId="4FBEBA8D" w14:textId="77777777">
        <w:trPr>
          <w:trHeight w:val="455"/>
        </w:trPr>
        <w:tc>
          <w:tcPr>
            <w:tcW w:w="9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08FFD0"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P/B</w:t>
            </w:r>
          </w:p>
        </w:tc>
        <w:tc>
          <w:tcPr>
            <w:tcW w:w="10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194AB54B"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2.99</w:t>
            </w:r>
          </w:p>
        </w:tc>
        <w:tc>
          <w:tcPr>
            <w:tcW w:w="11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6219C9D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1.72</w:t>
            </w:r>
          </w:p>
        </w:tc>
        <w:tc>
          <w:tcPr>
            <w:tcW w:w="13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12616E3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1.56</w:t>
            </w:r>
          </w:p>
        </w:tc>
        <w:tc>
          <w:tcPr>
            <w:tcW w:w="13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3ECEDCEC"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1.80</w:t>
            </w:r>
          </w:p>
        </w:tc>
        <w:tc>
          <w:tcPr>
            <w:tcW w:w="12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bottom"/>
          </w:tcPr>
          <w:p w14:paraId="20FE1D8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2.03</w:t>
            </w:r>
          </w:p>
        </w:tc>
      </w:tr>
      <w:tr w:rsidR="0054545C" w:rsidRPr="00660493" w14:paraId="11997641" w14:textId="77777777">
        <w:trPr>
          <w:trHeight w:val="455"/>
        </w:trPr>
        <w:tc>
          <w:tcPr>
            <w:tcW w:w="98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078125"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color w:val="000000"/>
                <w:sz w:val="24"/>
                <w:szCs w:val="24"/>
              </w:rPr>
              <w:t>P/E</w:t>
            </w:r>
          </w:p>
        </w:tc>
        <w:tc>
          <w:tcPr>
            <w:tcW w:w="108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F2650C"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12.21</w:t>
            </w:r>
          </w:p>
        </w:tc>
        <w:tc>
          <w:tcPr>
            <w:tcW w:w="119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1B59D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8.2</w:t>
            </w:r>
          </w:p>
        </w:tc>
        <w:tc>
          <w:tcPr>
            <w:tcW w:w="13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51ACAD"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12.51</w:t>
            </w:r>
          </w:p>
        </w:tc>
        <w:tc>
          <w:tcPr>
            <w:tcW w:w="13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5A2518"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12.82</w:t>
            </w:r>
          </w:p>
        </w:tc>
        <w:tc>
          <w:tcPr>
            <w:tcW w:w="120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4DBEB2"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9.88</w:t>
            </w:r>
          </w:p>
        </w:tc>
      </w:tr>
    </w:tbl>
    <w:p w14:paraId="475A48F2" w14:textId="77777777" w:rsidR="0054545C" w:rsidRPr="00660493" w:rsidRDefault="0054545C" w:rsidP="00EA0354">
      <w:pPr>
        <w:spacing w:after="0" w:line="360" w:lineRule="auto"/>
        <w:jc w:val="both"/>
        <w:rPr>
          <w:rFonts w:ascii="Times New Roman" w:eastAsia="Arial" w:hAnsi="Times New Roman" w:cs="Times New Roman"/>
          <w:sz w:val="24"/>
          <w:szCs w:val="24"/>
        </w:rPr>
      </w:pPr>
    </w:p>
    <w:p w14:paraId="6DAD41A1"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P/B is an indicator used by investors that conveys data about a company's book value of a share. A high P/B ratio demonstrates confidence in the company's prospects (Lestari &amp; </w:t>
      </w:r>
      <w:proofErr w:type="spellStart"/>
      <w:r w:rsidRPr="00660493">
        <w:rPr>
          <w:rFonts w:ascii="Times New Roman" w:eastAsia="Arial" w:hAnsi="Times New Roman" w:cs="Times New Roman"/>
          <w:sz w:val="24"/>
          <w:szCs w:val="24"/>
        </w:rPr>
        <w:t>Susetyo</w:t>
      </w:r>
      <w:proofErr w:type="spellEnd"/>
      <w:r w:rsidRPr="00660493">
        <w:rPr>
          <w:rFonts w:ascii="Times New Roman" w:eastAsia="Arial" w:hAnsi="Times New Roman" w:cs="Times New Roman"/>
          <w:sz w:val="24"/>
          <w:szCs w:val="24"/>
        </w:rPr>
        <w:t>, 2020), signifying strong financial performance. In the case of Thien Long, its P/B decreased from 2.99 in 2018 to 1.56 in 2020, then gradually recovered to reach 2.03 in 2022. With P/B stably greater than 1, investors seem to have much confidence in TLG’s financial performance.</w:t>
      </w:r>
    </w:p>
    <w:p w14:paraId="2ABBB5E6"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lastRenderedPageBreak/>
        <w:t xml:space="preserve">P/E, so-called Earnings multiple, is another ratio used to evaluate the price of a stock as it compares the market price of a stock to its EPS. </w:t>
      </w:r>
      <w:proofErr w:type="spellStart"/>
      <w:r w:rsidRPr="00660493">
        <w:rPr>
          <w:rFonts w:ascii="Times New Roman" w:eastAsia="Arial" w:hAnsi="Times New Roman" w:cs="Times New Roman"/>
          <w:sz w:val="24"/>
          <w:szCs w:val="24"/>
        </w:rPr>
        <w:t>Fahruri</w:t>
      </w:r>
      <w:proofErr w:type="spellEnd"/>
      <w:r w:rsidRPr="00660493">
        <w:rPr>
          <w:rFonts w:ascii="Times New Roman" w:eastAsia="Arial" w:hAnsi="Times New Roman" w:cs="Times New Roman"/>
          <w:sz w:val="24"/>
          <w:szCs w:val="24"/>
        </w:rPr>
        <w:t xml:space="preserve"> &amp; Ikhsan (as cited in </w:t>
      </w:r>
      <w:proofErr w:type="spellStart"/>
      <w:r w:rsidRPr="00660493">
        <w:rPr>
          <w:rFonts w:ascii="Times New Roman" w:eastAsia="Arial" w:hAnsi="Times New Roman" w:cs="Times New Roman"/>
          <w:sz w:val="24"/>
          <w:szCs w:val="24"/>
        </w:rPr>
        <w:t>Alfarago</w:t>
      </w:r>
      <w:proofErr w:type="spellEnd"/>
      <w:r w:rsidRPr="00660493">
        <w:rPr>
          <w:rFonts w:ascii="Times New Roman" w:eastAsia="Arial" w:hAnsi="Times New Roman" w:cs="Times New Roman"/>
          <w:sz w:val="24"/>
          <w:szCs w:val="24"/>
        </w:rPr>
        <w:t>, 2021) stated that P/E is employed in fundamental analysis to estimate a company's potential for future growth. A high P/E ratio suggests that the stock is overvalued, or there is expectation for the company to have a higher growth rate in the future. Thien Long had its P/E ratio dropped from 12.82 to 9.88 in 2022 in the context of Vietnam's economic being volatile and recovering from the Covid-19 pandemic. There requires more supportive information from corporate strategy and economic situation to confirm if this will form a downward trend.</w:t>
      </w:r>
    </w:p>
    <w:p w14:paraId="7E3E0E7E" w14:textId="77777777" w:rsidR="0054545C" w:rsidRPr="00660493" w:rsidRDefault="00000000" w:rsidP="00EA0354">
      <w:pPr>
        <w:pStyle w:val="Heading2"/>
        <w:numPr>
          <w:ilvl w:val="0"/>
          <w:numId w:val="9"/>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Forecasting Cash Flows</w:t>
      </w:r>
    </w:p>
    <w:p w14:paraId="2DBF0517" w14:textId="77777777"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Forecasting cash flow is the technique of estimating a company's future cash inflows and outflows over a specific </w:t>
      </w:r>
      <w:proofErr w:type="gramStart"/>
      <w:r w:rsidRPr="00660493">
        <w:rPr>
          <w:rFonts w:ascii="Times New Roman" w:eastAsia="Arial" w:hAnsi="Times New Roman" w:cs="Times New Roman"/>
          <w:color w:val="000000"/>
          <w:sz w:val="24"/>
          <w:szCs w:val="24"/>
        </w:rPr>
        <w:t>time period</w:t>
      </w:r>
      <w:proofErr w:type="gramEnd"/>
      <w:r w:rsidRPr="00660493">
        <w:rPr>
          <w:rFonts w:ascii="Times New Roman" w:eastAsia="Arial" w:hAnsi="Times New Roman" w:cs="Times New Roman"/>
          <w:color w:val="000000"/>
          <w:sz w:val="24"/>
          <w:szCs w:val="24"/>
        </w:rPr>
        <w:t>. The goal of cash flow forecasting is to provide insight into the company's anticipated financial state and to identify prospective cash deficits or surpluses for future investments.</w:t>
      </w:r>
    </w:p>
    <w:p w14:paraId="14330D03" w14:textId="77777777"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In our investigation, we use common size Income Statement and Balance Sheet to transform each item into percentage of Net Sales (for IS) or Total Assets or Total Liabilities and Owner’s Equity (for BS). This method allows us to easily evaluate the company's operation and financial performance from one period to the next on an overview. Furthermore, by looking at the percentage, the indexes become comparable to other competitors, regardless of company size and capitalization.</w:t>
      </w:r>
    </w:p>
    <w:p w14:paraId="0586F4C6" w14:textId="77777777"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We also developed certain reasonable assumptions and calculations to deploy in future cash flow computation according to the common size financial statements. However, to avoid resulting in constant statistics in the upcoming 5 years, we initially forecast the Net Sales by growth rate based on product categories and market distribution. The detailed calculation can be found in Appendix [...].</w:t>
      </w:r>
    </w:p>
    <w:p w14:paraId="25690AC0" w14:textId="77777777" w:rsidR="0054545C" w:rsidRPr="00660493" w:rsidRDefault="00000000" w:rsidP="00EA0354">
      <w:pPr>
        <w:pStyle w:val="Heading2"/>
        <w:numPr>
          <w:ilvl w:val="0"/>
          <w:numId w:val="9"/>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lastRenderedPageBreak/>
        <w:t>Stock Price Valuation</w:t>
      </w:r>
    </w:p>
    <w:p w14:paraId="49CE31C7" w14:textId="77777777" w:rsidR="0054545C" w:rsidRPr="00660493" w:rsidRDefault="00000000" w:rsidP="00EA0354">
      <w:pPr>
        <w:pStyle w:val="Heading3"/>
        <w:numPr>
          <w:ilvl w:val="0"/>
          <w:numId w:val="2"/>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WACC calculation</w:t>
      </w:r>
    </w:p>
    <w:p w14:paraId="06588AD2"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7E08F5A6" wp14:editId="38C4D239">
            <wp:extent cx="5943600" cy="1414780"/>
            <wp:effectExtent l="0" t="0" r="0" b="0"/>
            <wp:docPr id="2131251263"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0"/>
                    <a:srcRect/>
                    <a:stretch>
                      <a:fillRect/>
                    </a:stretch>
                  </pic:blipFill>
                  <pic:spPr>
                    <a:xfrm>
                      <a:off x="0" y="0"/>
                      <a:ext cx="5943600" cy="1414780"/>
                    </a:xfrm>
                    <a:prstGeom prst="rect">
                      <a:avLst/>
                    </a:prstGeom>
                    <a:ln/>
                  </pic:spPr>
                </pic:pic>
              </a:graphicData>
            </a:graphic>
          </wp:inline>
        </w:drawing>
      </w:r>
    </w:p>
    <w:p w14:paraId="0DD24082"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WACC is weighted cost of capital which accounts for company cost of debt, cost of equity and their proportionate value compared to company structure. WACC is a useful tool when it comes to evaluating a company's average cost. </w:t>
      </w:r>
    </w:p>
    <w:p w14:paraId="560160C4" w14:textId="7DEAE5FF" w:rsidR="0054545C" w:rsidRPr="00660493" w:rsidRDefault="00660493"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For</w:t>
      </w:r>
      <w:r w:rsidR="00000000" w:rsidRPr="00660493">
        <w:rPr>
          <w:rFonts w:ascii="Times New Roman" w:eastAsia="Arial" w:hAnsi="Times New Roman" w:cs="Times New Roman"/>
          <w:color w:val="000000"/>
          <w:sz w:val="24"/>
          <w:szCs w:val="24"/>
        </w:rPr>
        <w:t xml:space="preserve"> WACC calculation, we arrive at the result WACC at 5.73% likely due to significant cost of equity. The </w:t>
      </w:r>
      <w:r w:rsidRPr="00660493">
        <w:rPr>
          <w:rFonts w:ascii="Times New Roman" w:eastAsia="Arial" w:hAnsi="Times New Roman" w:cs="Times New Roman"/>
          <w:color w:val="000000"/>
          <w:sz w:val="24"/>
          <w:szCs w:val="24"/>
        </w:rPr>
        <w:t>risk-free</w:t>
      </w:r>
      <w:r w:rsidR="00000000" w:rsidRPr="00660493">
        <w:rPr>
          <w:rFonts w:ascii="Times New Roman" w:eastAsia="Arial" w:hAnsi="Times New Roman" w:cs="Times New Roman"/>
          <w:color w:val="000000"/>
          <w:sz w:val="24"/>
          <w:szCs w:val="24"/>
        </w:rPr>
        <w:t xml:space="preserve"> rate is taken from Vietnam 10Y bonds from </w:t>
      </w:r>
      <w:proofErr w:type="spellStart"/>
      <w:r w:rsidR="00000000" w:rsidRPr="00660493">
        <w:rPr>
          <w:rFonts w:ascii="Times New Roman" w:eastAsia="Arial" w:hAnsi="Times New Roman" w:cs="Times New Roman"/>
          <w:color w:val="000000"/>
          <w:sz w:val="24"/>
          <w:szCs w:val="24"/>
        </w:rPr>
        <w:t>Tradingeconomic</w:t>
      </w:r>
      <w:proofErr w:type="spellEnd"/>
      <w:r w:rsidR="00000000" w:rsidRPr="00660493">
        <w:rPr>
          <w:rFonts w:ascii="Times New Roman" w:eastAsia="Arial" w:hAnsi="Times New Roman" w:cs="Times New Roman"/>
          <w:color w:val="000000"/>
          <w:sz w:val="24"/>
          <w:szCs w:val="24"/>
        </w:rPr>
        <w:t xml:space="preserve"> while the Equity risk premium was collected from professor Damodaran’s websites. The beta is from </w:t>
      </w:r>
      <w:r>
        <w:rPr>
          <w:rFonts w:ascii="Times New Roman" w:eastAsia="Arial" w:hAnsi="Times New Roman" w:cs="Times New Roman"/>
          <w:color w:val="000000"/>
          <w:sz w:val="24"/>
          <w:szCs w:val="24"/>
        </w:rPr>
        <w:t>our</w:t>
      </w:r>
      <w:r w:rsidR="00000000" w:rsidRPr="00660493">
        <w:rPr>
          <w:rFonts w:ascii="Times New Roman" w:eastAsia="Arial" w:hAnsi="Times New Roman" w:cs="Times New Roman"/>
          <w:color w:val="000000"/>
          <w:sz w:val="24"/>
          <w:szCs w:val="24"/>
        </w:rPr>
        <w:t xml:space="preserve"> calculation </w:t>
      </w:r>
      <w:proofErr w:type="gramStart"/>
      <w:r w:rsidR="00000000" w:rsidRPr="00660493">
        <w:rPr>
          <w:rFonts w:ascii="Times New Roman" w:eastAsia="Arial" w:hAnsi="Times New Roman" w:cs="Times New Roman"/>
          <w:color w:val="000000"/>
          <w:sz w:val="24"/>
          <w:szCs w:val="24"/>
        </w:rPr>
        <w:t>with regard to</w:t>
      </w:r>
      <w:proofErr w:type="gramEnd"/>
      <w:r w:rsidR="00000000" w:rsidRPr="00660493">
        <w:rPr>
          <w:rFonts w:ascii="Times New Roman" w:eastAsia="Arial" w:hAnsi="Times New Roman" w:cs="Times New Roman"/>
          <w:color w:val="000000"/>
          <w:sz w:val="24"/>
          <w:szCs w:val="24"/>
        </w:rPr>
        <w:t xml:space="preserve"> competitors to adjust for any </w:t>
      </w:r>
      <w:r w:rsidRPr="00660493">
        <w:rPr>
          <w:rFonts w:ascii="Times New Roman" w:eastAsia="Arial" w:hAnsi="Times New Roman" w:cs="Times New Roman"/>
          <w:color w:val="000000"/>
          <w:sz w:val="24"/>
          <w:szCs w:val="24"/>
        </w:rPr>
        <w:t>outlier’s</w:t>
      </w:r>
      <w:r w:rsidR="00000000" w:rsidRPr="00660493">
        <w:rPr>
          <w:rFonts w:ascii="Times New Roman" w:eastAsia="Arial" w:hAnsi="Times New Roman" w:cs="Times New Roman"/>
          <w:color w:val="000000"/>
          <w:sz w:val="24"/>
          <w:szCs w:val="24"/>
        </w:rPr>
        <w:t xml:space="preserve"> behaviors. Cost of equity is calculated under CAPM formula while cost of debt is calculated based on </w:t>
      </w:r>
      <w:r w:rsidRPr="00660493">
        <w:rPr>
          <w:rFonts w:ascii="Times New Roman" w:eastAsia="Arial" w:hAnsi="Times New Roman" w:cs="Times New Roman"/>
          <w:color w:val="000000"/>
          <w:sz w:val="24"/>
          <w:szCs w:val="24"/>
        </w:rPr>
        <w:t>interest</w:t>
      </w:r>
      <w:r w:rsidR="00000000" w:rsidRPr="00660493">
        <w:rPr>
          <w:rFonts w:ascii="Times New Roman" w:eastAsia="Arial" w:hAnsi="Times New Roman" w:cs="Times New Roman"/>
          <w:color w:val="000000"/>
          <w:sz w:val="24"/>
          <w:szCs w:val="24"/>
        </w:rPr>
        <w:t xml:space="preserve"> expenses in proportion to total short-term and long-term debt in the company balance sheet. TLG does not carry large </w:t>
      </w:r>
      <w:r w:rsidRPr="00660493">
        <w:rPr>
          <w:rFonts w:ascii="Times New Roman" w:eastAsia="Arial" w:hAnsi="Times New Roman" w:cs="Times New Roman"/>
          <w:color w:val="000000"/>
          <w:sz w:val="24"/>
          <w:szCs w:val="24"/>
        </w:rPr>
        <w:t>amounts</w:t>
      </w:r>
      <w:r w:rsidR="00000000" w:rsidRPr="00660493">
        <w:rPr>
          <w:rFonts w:ascii="Times New Roman" w:eastAsia="Arial" w:hAnsi="Times New Roman" w:cs="Times New Roman"/>
          <w:color w:val="000000"/>
          <w:sz w:val="24"/>
          <w:szCs w:val="24"/>
        </w:rPr>
        <w:t xml:space="preserve"> of debt, therefore, the WACC is heavily affected by the cost of equity. </w:t>
      </w:r>
    </w:p>
    <w:p w14:paraId="0DEA191F" w14:textId="77777777" w:rsidR="0054545C" w:rsidRPr="00660493" w:rsidRDefault="00000000" w:rsidP="00EA0354">
      <w:pPr>
        <w:pStyle w:val="Heading3"/>
        <w:numPr>
          <w:ilvl w:val="0"/>
          <w:numId w:val="2"/>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Terminal growth rate</w:t>
      </w:r>
    </w:p>
    <w:p w14:paraId="68D26C89"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71C1A45A" wp14:editId="2CCB141F">
            <wp:extent cx="5943600" cy="483235"/>
            <wp:effectExtent l="0" t="0" r="0" b="0"/>
            <wp:docPr id="21312512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483235"/>
                    </a:xfrm>
                    <a:prstGeom prst="rect">
                      <a:avLst/>
                    </a:prstGeom>
                    <a:ln/>
                  </pic:spPr>
                </pic:pic>
              </a:graphicData>
            </a:graphic>
          </wp:inline>
        </w:drawing>
      </w:r>
    </w:p>
    <w:p w14:paraId="6B9ABF66"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After 42 years of operation, TLG has reached a mature stage in terms of terminal growth rate; as a result, the company is anticipated to continue growing at a steady rate indefinitely even in the future. According to information gathered and the looming global recession as well as Vietnam's economic capability, we decide to collect Vietnam’ GDP growth rate at 6.65% while the current inflation of Vietnam at 2% (World Bank, 2023). </w:t>
      </w:r>
    </w:p>
    <w:p w14:paraId="2AADA105" w14:textId="0A7099B8"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Thus, we </w:t>
      </w:r>
      <w:r w:rsidR="00660493" w:rsidRPr="00660493">
        <w:rPr>
          <w:rFonts w:ascii="Times New Roman" w:eastAsia="Arial" w:hAnsi="Times New Roman" w:cs="Times New Roman"/>
          <w:color w:val="000000"/>
          <w:sz w:val="24"/>
          <w:szCs w:val="24"/>
        </w:rPr>
        <w:t>decided</w:t>
      </w:r>
      <w:r w:rsidRPr="00660493">
        <w:rPr>
          <w:rFonts w:ascii="Times New Roman" w:eastAsia="Arial" w:hAnsi="Times New Roman" w:cs="Times New Roman"/>
          <w:color w:val="000000"/>
          <w:sz w:val="24"/>
          <w:szCs w:val="24"/>
        </w:rPr>
        <w:t xml:space="preserve"> to choose the terminal growth rate at 2.4% slightly higher than the inflation rate. There are 2 main reasons for </w:t>
      </w:r>
      <w:r w:rsidR="00660493" w:rsidRPr="00660493">
        <w:rPr>
          <w:rFonts w:ascii="Times New Roman" w:eastAsia="Arial" w:hAnsi="Times New Roman" w:cs="Times New Roman"/>
          <w:color w:val="000000"/>
          <w:sz w:val="24"/>
          <w:szCs w:val="24"/>
        </w:rPr>
        <w:t>this</w:t>
      </w:r>
      <w:r w:rsidRPr="00660493">
        <w:rPr>
          <w:rFonts w:ascii="Times New Roman" w:eastAsia="Arial" w:hAnsi="Times New Roman" w:cs="Times New Roman"/>
          <w:color w:val="000000"/>
          <w:sz w:val="24"/>
          <w:szCs w:val="24"/>
        </w:rPr>
        <w:t xml:space="preserve"> decision:</w:t>
      </w:r>
    </w:p>
    <w:p w14:paraId="6207051F" w14:textId="77777777" w:rsidR="0054545C" w:rsidRPr="00660493" w:rsidRDefault="00000000" w:rsidP="00EA0354">
      <w:pPr>
        <w:numPr>
          <w:ilvl w:val="0"/>
          <w:numId w:val="2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lastRenderedPageBreak/>
        <w:t>TLG has already dominated the domestic market with literally little room for expansion, therefore, it will be hard for the company to really grow at the growth rate of the economy. The firm growth rate will obviously be higher than the inflation but still close to inflation as the domestic limited opportunities for growth.  </w:t>
      </w:r>
    </w:p>
    <w:p w14:paraId="425C5AF7" w14:textId="371DAAA3" w:rsidR="0054545C" w:rsidRPr="00660493" w:rsidRDefault="00000000" w:rsidP="00EA0354">
      <w:pPr>
        <w:numPr>
          <w:ilvl w:val="0"/>
          <w:numId w:val="21"/>
        </w:num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Although TLG is currently expanding its business to foreign countries, this expansion is still at an infant stage with lots of risks and </w:t>
      </w:r>
      <w:r w:rsidR="00660493" w:rsidRPr="00660493">
        <w:rPr>
          <w:rFonts w:ascii="Times New Roman" w:eastAsia="Arial" w:hAnsi="Times New Roman" w:cs="Times New Roman"/>
          <w:color w:val="000000"/>
          <w:sz w:val="24"/>
          <w:szCs w:val="24"/>
        </w:rPr>
        <w:t>competition</w:t>
      </w:r>
      <w:r w:rsidRPr="00660493">
        <w:rPr>
          <w:rFonts w:ascii="Times New Roman" w:eastAsia="Arial" w:hAnsi="Times New Roman" w:cs="Times New Roman"/>
          <w:color w:val="000000"/>
          <w:sz w:val="24"/>
          <w:szCs w:val="24"/>
        </w:rPr>
        <w:t xml:space="preserve"> and it will take a long time for the company to </w:t>
      </w:r>
      <w:proofErr w:type="gramStart"/>
      <w:r w:rsidRPr="00660493">
        <w:rPr>
          <w:rFonts w:ascii="Times New Roman" w:eastAsia="Arial" w:hAnsi="Times New Roman" w:cs="Times New Roman"/>
          <w:color w:val="000000"/>
          <w:sz w:val="24"/>
          <w:szCs w:val="24"/>
        </w:rPr>
        <w:t>actually achieve</w:t>
      </w:r>
      <w:proofErr w:type="gramEnd"/>
      <w:r w:rsidRPr="00660493">
        <w:rPr>
          <w:rFonts w:ascii="Times New Roman" w:eastAsia="Arial" w:hAnsi="Times New Roman" w:cs="Times New Roman"/>
          <w:color w:val="000000"/>
          <w:sz w:val="24"/>
          <w:szCs w:val="24"/>
        </w:rPr>
        <w:t xml:space="preserve"> its profitable results to reflect in its share price. </w:t>
      </w:r>
    </w:p>
    <w:p w14:paraId="6C1A945D" w14:textId="02D3710E"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In conclusion, as the company </w:t>
      </w:r>
      <w:r w:rsidR="00660493" w:rsidRPr="00660493">
        <w:rPr>
          <w:rFonts w:ascii="Times New Roman" w:eastAsia="Arial" w:hAnsi="Times New Roman" w:cs="Times New Roman"/>
          <w:color w:val="000000"/>
          <w:sz w:val="24"/>
          <w:szCs w:val="24"/>
        </w:rPr>
        <w:t>cannot</w:t>
      </w:r>
      <w:r w:rsidRPr="00660493">
        <w:rPr>
          <w:rFonts w:ascii="Times New Roman" w:eastAsia="Arial" w:hAnsi="Times New Roman" w:cs="Times New Roman"/>
          <w:color w:val="000000"/>
          <w:sz w:val="24"/>
          <w:szCs w:val="24"/>
        </w:rPr>
        <w:t xml:space="preserve"> outperform the Vietnam market and </w:t>
      </w:r>
      <w:proofErr w:type="spellStart"/>
      <w:r w:rsidRPr="00660493">
        <w:rPr>
          <w:rFonts w:ascii="Times New Roman" w:eastAsia="Arial" w:hAnsi="Times New Roman" w:cs="Times New Roman"/>
          <w:color w:val="000000"/>
          <w:sz w:val="24"/>
          <w:szCs w:val="24"/>
        </w:rPr>
        <w:t>its</w:t>
      </w:r>
      <w:proofErr w:type="spellEnd"/>
      <w:r w:rsidRPr="00660493">
        <w:rPr>
          <w:rFonts w:ascii="Times New Roman" w:eastAsia="Arial" w:hAnsi="Times New Roman" w:cs="Times New Roman"/>
          <w:color w:val="000000"/>
          <w:sz w:val="24"/>
          <w:szCs w:val="24"/>
        </w:rPr>
        <w:t xml:space="preserve"> still infant presence in foreign market. We conclude that a rate at 2.4% which is slightly higher than inflation rate and significantly lower than GDP rate is sufficiently accurate.</w:t>
      </w:r>
    </w:p>
    <w:p w14:paraId="52BA9D6F" w14:textId="295AF262"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Terminal growth and WACC </w:t>
      </w:r>
      <w:r w:rsidR="00660493" w:rsidRPr="00660493">
        <w:rPr>
          <w:rFonts w:ascii="Times New Roman" w:eastAsia="Arial" w:hAnsi="Times New Roman" w:cs="Times New Roman"/>
          <w:color w:val="000000"/>
          <w:sz w:val="24"/>
          <w:szCs w:val="24"/>
        </w:rPr>
        <w:t>are</w:t>
      </w:r>
      <w:r w:rsidRPr="00660493">
        <w:rPr>
          <w:rFonts w:ascii="Times New Roman" w:eastAsia="Arial" w:hAnsi="Times New Roman" w:cs="Times New Roman"/>
          <w:color w:val="000000"/>
          <w:sz w:val="24"/>
          <w:szCs w:val="24"/>
        </w:rPr>
        <w:t xml:space="preserve"> such important figure</w:t>
      </w:r>
      <w:r w:rsidR="00660493">
        <w:rPr>
          <w:rFonts w:ascii="Times New Roman" w:eastAsia="Arial" w:hAnsi="Times New Roman" w:cs="Times New Roman"/>
          <w:color w:val="000000"/>
          <w:sz w:val="24"/>
          <w:szCs w:val="24"/>
        </w:rPr>
        <w:t>s</w:t>
      </w:r>
      <w:r w:rsidRPr="00660493">
        <w:rPr>
          <w:rFonts w:ascii="Times New Roman" w:eastAsia="Arial" w:hAnsi="Times New Roman" w:cs="Times New Roman"/>
          <w:color w:val="000000"/>
          <w:sz w:val="24"/>
          <w:szCs w:val="24"/>
        </w:rPr>
        <w:t xml:space="preserve"> that these numbers will be used repeatedly in all valuation methods</w:t>
      </w:r>
      <w:r w:rsidR="00660493">
        <w:rPr>
          <w:rFonts w:ascii="Times New Roman" w:eastAsia="Arial" w:hAnsi="Times New Roman" w:cs="Times New Roman"/>
          <w:color w:val="000000"/>
          <w:sz w:val="24"/>
          <w:szCs w:val="24"/>
        </w:rPr>
        <w:t>.</w:t>
      </w:r>
    </w:p>
    <w:p w14:paraId="5C3689A8" w14:textId="77777777" w:rsidR="0054545C" w:rsidRPr="00660493" w:rsidRDefault="00000000" w:rsidP="00EA0354">
      <w:pPr>
        <w:pStyle w:val="Heading3"/>
        <w:numPr>
          <w:ilvl w:val="0"/>
          <w:numId w:val="2"/>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Valuation results</w:t>
      </w:r>
    </w:p>
    <w:p w14:paraId="334BE62C" w14:textId="77777777" w:rsidR="0054545C" w:rsidRPr="00660493" w:rsidRDefault="00000000" w:rsidP="00EA0354">
      <w:pPr>
        <w:numPr>
          <w:ilvl w:val="0"/>
          <w:numId w:val="5"/>
        </w:num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DCF Valuation </w:t>
      </w:r>
    </w:p>
    <w:p w14:paraId="01C9EE4B"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05CFB3D2" wp14:editId="0C322881">
            <wp:extent cx="4434205" cy="2346325"/>
            <wp:effectExtent l="0" t="0" r="0" b="0"/>
            <wp:docPr id="2131251265" name="image11.png" descr="A yellow box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yellow box with black text&#10;&#10;Description automatically generated"/>
                    <pic:cNvPicPr preferRelativeResize="0"/>
                  </pic:nvPicPr>
                  <pic:blipFill>
                    <a:blip r:embed="rId12"/>
                    <a:srcRect/>
                    <a:stretch>
                      <a:fillRect/>
                    </a:stretch>
                  </pic:blipFill>
                  <pic:spPr>
                    <a:xfrm>
                      <a:off x="0" y="0"/>
                      <a:ext cx="4434205" cy="2346325"/>
                    </a:xfrm>
                    <a:prstGeom prst="rect">
                      <a:avLst/>
                    </a:prstGeom>
                    <a:ln/>
                  </pic:spPr>
                </pic:pic>
              </a:graphicData>
            </a:graphic>
          </wp:inline>
        </w:drawing>
      </w:r>
    </w:p>
    <w:p w14:paraId="3AC77196"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noProof/>
          <w:color w:val="000000"/>
          <w:sz w:val="24"/>
          <w:szCs w:val="24"/>
        </w:rPr>
        <w:lastRenderedPageBreak/>
        <w:drawing>
          <wp:inline distT="0" distB="0" distL="0" distR="0" wp14:anchorId="7B488C97" wp14:editId="294671BF">
            <wp:extent cx="3769995" cy="3217545"/>
            <wp:effectExtent l="0" t="0" r="0" b="0"/>
            <wp:docPr id="2131251268" name="image20.png" descr="A white and black text with re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0.png" descr="A white and black text with red text&#10;&#10;Description automatically generated with medium confidence"/>
                    <pic:cNvPicPr preferRelativeResize="0"/>
                  </pic:nvPicPr>
                  <pic:blipFill>
                    <a:blip r:embed="rId13"/>
                    <a:srcRect/>
                    <a:stretch>
                      <a:fillRect/>
                    </a:stretch>
                  </pic:blipFill>
                  <pic:spPr>
                    <a:xfrm>
                      <a:off x="0" y="0"/>
                      <a:ext cx="3769995" cy="3217545"/>
                    </a:xfrm>
                    <a:prstGeom prst="rect">
                      <a:avLst/>
                    </a:prstGeom>
                    <a:ln/>
                  </pic:spPr>
                </pic:pic>
              </a:graphicData>
            </a:graphic>
          </wp:inline>
        </w:drawing>
      </w:r>
    </w:p>
    <w:p w14:paraId="105D6622"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With the DCF Valuation method, we propose forecasting the future cash flows to achieve the final free cash flow for the next five years then discounted back to present value using the WACC. </w:t>
      </w:r>
      <w:proofErr w:type="gramStart"/>
      <w:r w:rsidRPr="00660493">
        <w:rPr>
          <w:rFonts w:ascii="Times New Roman" w:eastAsia="Arial" w:hAnsi="Times New Roman" w:cs="Times New Roman"/>
          <w:color w:val="000000"/>
          <w:sz w:val="24"/>
          <w:szCs w:val="24"/>
        </w:rPr>
        <w:t>In order to</w:t>
      </w:r>
      <w:proofErr w:type="gramEnd"/>
      <w:r w:rsidRPr="00660493">
        <w:rPr>
          <w:rFonts w:ascii="Times New Roman" w:eastAsia="Arial" w:hAnsi="Times New Roman" w:cs="Times New Roman"/>
          <w:color w:val="000000"/>
          <w:sz w:val="24"/>
          <w:szCs w:val="24"/>
        </w:rPr>
        <w:t xml:space="preserve"> achieve greater accuracy, we divided DCF valuation into two smaller valuations of terminal value using EV/EBITDA and Gordon Growth Model (GGM) respectively. Although the two valuation models use the same present value </w:t>
      </w:r>
      <w:proofErr w:type="gramStart"/>
      <w:r w:rsidRPr="00660493">
        <w:rPr>
          <w:rFonts w:ascii="Times New Roman" w:eastAsia="Arial" w:hAnsi="Times New Roman" w:cs="Times New Roman"/>
          <w:color w:val="000000"/>
          <w:sz w:val="24"/>
          <w:szCs w:val="24"/>
        </w:rPr>
        <w:t>of</w:t>
      </w:r>
      <w:proofErr w:type="gramEnd"/>
      <w:r w:rsidRPr="00660493">
        <w:rPr>
          <w:rFonts w:ascii="Times New Roman" w:eastAsia="Arial" w:hAnsi="Times New Roman" w:cs="Times New Roman"/>
          <w:color w:val="000000"/>
          <w:sz w:val="24"/>
          <w:szCs w:val="24"/>
        </w:rPr>
        <w:t xml:space="preserve"> free cash flow. Their terminal value was calculated differently using different rates (using EV/EBITDA and WACC). Thus, 2 valuations will arrive at different prices. However, EV/EBITDA is prone to manipulation as the EV/EBITDA multiply can be changed at ease by changing competitors with higher or lower ratios affecting the integrity of the number. Thus, we assign a slightly lower weight to EV/EBITDA multiply compared to the reliable WACC. </w:t>
      </w:r>
    </w:p>
    <w:p w14:paraId="6A23DA46" w14:textId="77777777" w:rsidR="0054545C" w:rsidRPr="00660493" w:rsidRDefault="00000000" w:rsidP="00EA0354">
      <w:pPr>
        <w:numPr>
          <w:ilvl w:val="0"/>
          <w:numId w:val="5"/>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APV valuation</w:t>
      </w:r>
    </w:p>
    <w:p w14:paraId="7C79AAE8" w14:textId="77777777" w:rsidR="0054545C" w:rsidRPr="00660493" w:rsidRDefault="00000000" w:rsidP="00EA0354">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noProof/>
          <w:color w:val="000000"/>
          <w:sz w:val="24"/>
          <w:szCs w:val="24"/>
        </w:rPr>
        <w:lastRenderedPageBreak/>
        <w:drawing>
          <wp:inline distT="0" distB="0" distL="0" distR="0" wp14:anchorId="0E866DA7" wp14:editId="56295B29">
            <wp:extent cx="6046736" cy="2580299"/>
            <wp:effectExtent l="0" t="0" r="0" b="0"/>
            <wp:docPr id="2131251267" name="image12.png" descr="A table with numbers and a number of peop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2.png" descr="A table with numbers and a number of people&#10;&#10;Description automatically generated with medium confidence"/>
                    <pic:cNvPicPr preferRelativeResize="0"/>
                  </pic:nvPicPr>
                  <pic:blipFill>
                    <a:blip r:embed="rId14"/>
                    <a:srcRect b="11418"/>
                    <a:stretch>
                      <a:fillRect/>
                    </a:stretch>
                  </pic:blipFill>
                  <pic:spPr>
                    <a:xfrm>
                      <a:off x="0" y="0"/>
                      <a:ext cx="6046736" cy="2580299"/>
                    </a:xfrm>
                    <a:prstGeom prst="rect">
                      <a:avLst/>
                    </a:prstGeom>
                    <a:ln/>
                  </pic:spPr>
                </pic:pic>
              </a:graphicData>
            </a:graphic>
          </wp:inline>
        </w:drawing>
      </w:r>
    </w:p>
    <w:p w14:paraId="629E93AB" w14:textId="77777777" w:rsidR="0054545C" w:rsidRPr="00660493" w:rsidRDefault="00000000" w:rsidP="00EA0354">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0B9B1647" wp14:editId="57B26839">
            <wp:extent cx="4824774" cy="3811599"/>
            <wp:effectExtent l="0" t="0" r="0" b="0"/>
            <wp:docPr id="2131251270" name="image1.png"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graph&#10;&#10;Description automatically generated"/>
                    <pic:cNvPicPr preferRelativeResize="0"/>
                  </pic:nvPicPr>
                  <pic:blipFill>
                    <a:blip r:embed="rId15"/>
                    <a:srcRect l="6310" t="3521" r="8518" b="12004"/>
                    <a:stretch>
                      <a:fillRect/>
                    </a:stretch>
                  </pic:blipFill>
                  <pic:spPr>
                    <a:xfrm>
                      <a:off x="0" y="0"/>
                      <a:ext cx="4824774" cy="3811599"/>
                    </a:xfrm>
                    <a:prstGeom prst="rect">
                      <a:avLst/>
                    </a:prstGeom>
                    <a:ln/>
                  </pic:spPr>
                </pic:pic>
              </a:graphicData>
            </a:graphic>
          </wp:inline>
        </w:drawing>
      </w:r>
    </w:p>
    <w:p w14:paraId="7893FE07" w14:textId="77777777" w:rsidR="0054545C" w:rsidRPr="00660493" w:rsidRDefault="00000000" w:rsidP="00EA0354">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After recovering from the impact of Covid-19, under the pressure of internal and external difficulties like high inflation and interest rate, unstable global economy, TLG </w:t>
      </w:r>
      <w:proofErr w:type="gramStart"/>
      <w:r w:rsidRPr="00660493">
        <w:rPr>
          <w:rFonts w:ascii="Times New Roman" w:eastAsia="Arial" w:hAnsi="Times New Roman" w:cs="Times New Roman"/>
          <w:color w:val="000000"/>
          <w:sz w:val="24"/>
          <w:szCs w:val="24"/>
        </w:rPr>
        <w:t>has to</w:t>
      </w:r>
      <w:proofErr w:type="gramEnd"/>
      <w:r w:rsidRPr="00660493">
        <w:rPr>
          <w:rFonts w:ascii="Times New Roman" w:eastAsia="Arial" w:hAnsi="Times New Roman" w:cs="Times New Roman"/>
          <w:color w:val="000000"/>
          <w:sz w:val="24"/>
          <w:szCs w:val="24"/>
        </w:rPr>
        <w:t xml:space="preserve"> be flexible in capital structure and operating approaches. Therefore, an APV method that does not stick to the constant capital structure is useful in evaluating this corporation. We estimated 58,673.06 VND per share for APV using traditional WACC and more optimistically 72.405.00 VND per share for </w:t>
      </w:r>
      <w:r w:rsidRPr="00660493">
        <w:rPr>
          <w:rFonts w:ascii="Times New Roman" w:eastAsia="Arial" w:hAnsi="Times New Roman" w:cs="Times New Roman"/>
          <w:color w:val="000000"/>
          <w:sz w:val="24"/>
          <w:szCs w:val="24"/>
        </w:rPr>
        <w:lastRenderedPageBreak/>
        <w:t>APV with an EBITDA effect. The weight allocation for WACC and EV/EBITDA are 20% and 15% respectively for the reason mentioned in DCF valuation.</w:t>
      </w:r>
    </w:p>
    <w:p w14:paraId="60855CDC" w14:textId="77777777" w:rsidR="0054545C" w:rsidRPr="00660493" w:rsidRDefault="00000000" w:rsidP="00EA0354">
      <w:pPr>
        <w:numPr>
          <w:ilvl w:val="0"/>
          <w:numId w:val="5"/>
        </w:num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DDM Valuation</w:t>
      </w:r>
    </w:p>
    <w:p w14:paraId="774849BF"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72554904" wp14:editId="4CDF1763">
            <wp:extent cx="3968115" cy="1302385"/>
            <wp:effectExtent l="0" t="0" r="0" b="0"/>
            <wp:docPr id="2131251269" name="image18.png" descr="A yellow rectangle with numbers and a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yellow rectangle with numbers and a black text&#10;&#10;Description automatically generated"/>
                    <pic:cNvPicPr preferRelativeResize="0"/>
                  </pic:nvPicPr>
                  <pic:blipFill>
                    <a:blip r:embed="rId16"/>
                    <a:srcRect/>
                    <a:stretch>
                      <a:fillRect/>
                    </a:stretch>
                  </pic:blipFill>
                  <pic:spPr>
                    <a:xfrm>
                      <a:off x="0" y="0"/>
                      <a:ext cx="3968115" cy="1302385"/>
                    </a:xfrm>
                    <a:prstGeom prst="rect">
                      <a:avLst/>
                    </a:prstGeom>
                    <a:ln/>
                  </pic:spPr>
                </pic:pic>
              </a:graphicData>
            </a:graphic>
          </wp:inline>
        </w:drawing>
      </w:r>
    </w:p>
    <w:p w14:paraId="2B421ED2" w14:textId="75336DB4"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With DDM Valuation method, we arrive at the share price of 107,417 VND. The price is significantly higher than the price recorded on 30/06/2023. The high price is positive for the company investors. However, this price is prone to be affected by dividend payout policy and is not </w:t>
      </w:r>
      <w:proofErr w:type="gramStart"/>
      <w:r w:rsidRPr="00660493">
        <w:rPr>
          <w:rFonts w:ascii="Times New Roman" w:eastAsia="Arial" w:hAnsi="Times New Roman" w:cs="Times New Roman"/>
          <w:color w:val="000000"/>
          <w:sz w:val="24"/>
          <w:szCs w:val="24"/>
        </w:rPr>
        <w:t>really stable</w:t>
      </w:r>
      <w:proofErr w:type="gramEnd"/>
      <w:r w:rsidRPr="00660493">
        <w:rPr>
          <w:rFonts w:ascii="Times New Roman" w:eastAsia="Arial" w:hAnsi="Times New Roman" w:cs="Times New Roman"/>
          <w:color w:val="000000"/>
          <w:sz w:val="24"/>
          <w:szCs w:val="24"/>
        </w:rPr>
        <w:t xml:space="preserve">. This price can change significantly even in the opposite direction if the company decides to withhold the dividend in the future. However, TLG actually paid dividends and there is no sign that the company will withhold the dividend. Thus, we still accept these results to ensure </w:t>
      </w:r>
      <w:r w:rsidR="00660493" w:rsidRPr="00660493">
        <w:rPr>
          <w:rFonts w:ascii="Times New Roman" w:eastAsia="Arial" w:hAnsi="Times New Roman" w:cs="Times New Roman"/>
          <w:color w:val="000000"/>
          <w:sz w:val="24"/>
          <w:szCs w:val="24"/>
        </w:rPr>
        <w:t>diversity</w:t>
      </w:r>
      <w:r w:rsidRPr="00660493">
        <w:rPr>
          <w:rFonts w:ascii="Times New Roman" w:eastAsia="Arial" w:hAnsi="Times New Roman" w:cs="Times New Roman"/>
          <w:color w:val="000000"/>
          <w:sz w:val="24"/>
          <w:szCs w:val="24"/>
        </w:rPr>
        <w:t xml:space="preserve"> and account for the value of company dividend affecting the company share price but allocate only a small proportion of total weight to this valuation (10%)</w:t>
      </w:r>
    </w:p>
    <w:p w14:paraId="22A530A3" w14:textId="77777777" w:rsidR="0054545C" w:rsidRPr="00660493" w:rsidRDefault="00000000" w:rsidP="00EA0354">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w:t>
      </w:r>
    </w:p>
    <w:p w14:paraId="3647A898" w14:textId="77777777" w:rsidR="0054545C" w:rsidRPr="00660493" w:rsidRDefault="00000000" w:rsidP="00EA0354">
      <w:pPr>
        <w:numPr>
          <w:ilvl w:val="0"/>
          <w:numId w:val="5"/>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P/E Valuation</w:t>
      </w:r>
    </w:p>
    <w:p w14:paraId="761B9EB7" w14:textId="77777777" w:rsidR="0054545C" w:rsidRPr="00660493" w:rsidRDefault="00000000" w:rsidP="00EA0354">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w:t>
      </w:r>
    </w:p>
    <w:p w14:paraId="1CA4C7F8" w14:textId="77777777"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The P/E valuation method was conducted by collecting three distinctive TLG related </w:t>
      </w:r>
      <w:proofErr w:type="spellStart"/>
      <w:r w:rsidRPr="00660493">
        <w:rPr>
          <w:rFonts w:ascii="Times New Roman" w:eastAsia="Arial" w:hAnsi="Times New Roman" w:cs="Times New Roman"/>
          <w:color w:val="000000"/>
          <w:sz w:val="24"/>
          <w:szCs w:val="24"/>
        </w:rPr>
        <w:t>earning</w:t>
      </w:r>
      <w:proofErr w:type="spellEnd"/>
      <w:r w:rsidRPr="00660493">
        <w:rPr>
          <w:rFonts w:ascii="Times New Roman" w:eastAsia="Arial" w:hAnsi="Times New Roman" w:cs="Times New Roman"/>
          <w:color w:val="000000"/>
          <w:sz w:val="24"/>
          <w:szCs w:val="24"/>
        </w:rPr>
        <w:t xml:space="preserve"> multiples to estimate corresponding share price using the number of shares outstanding then taking the average of them.  </w:t>
      </w:r>
    </w:p>
    <w:p w14:paraId="789847BD" w14:textId="77777777"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The first P/E ratio was collected from consulting financial website (</w:t>
      </w:r>
      <w:proofErr w:type="spellStart"/>
      <w:r w:rsidRPr="00660493">
        <w:rPr>
          <w:rFonts w:ascii="Times New Roman" w:eastAsia="Arial" w:hAnsi="Times New Roman" w:cs="Times New Roman"/>
          <w:color w:val="000000"/>
          <w:sz w:val="24"/>
          <w:szCs w:val="24"/>
        </w:rPr>
        <w:t>Vietstock</w:t>
      </w:r>
      <w:proofErr w:type="spellEnd"/>
      <w:r w:rsidRPr="00660493">
        <w:rPr>
          <w:rFonts w:ascii="Times New Roman" w:eastAsia="Arial" w:hAnsi="Times New Roman" w:cs="Times New Roman"/>
          <w:color w:val="000000"/>
          <w:sz w:val="24"/>
          <w:szCs w:val="24"/>
        </w:rPr>
        <w:t xml:space="preserve">) as the representative of the stationery field at 16.39. Using this P/E value, TLG’s stock price at the end of 2023 was estimated </w:t>
      </w:r>
      <w:proofErr w:type="gramStart"/>
      <w:r w:rsidRPr="00660493">
        <w:rPr>
          <w:rFonts w:ascii="Times New Roman" w:eastAsia="Arial" w:hAnsi="Times New Roman" w:cs="Times New Roman"/>
          <w:color w:val="000000"/>
          <w:sz w:val="24"/>
          <w:szCs w:val="24"/>
        </w:rPr>
        <w:t>as</w:t>
      </w:r>
      <w:proofErr w:type="gramEnd"/>
      <w:r w:rsidRPr="00660493">
        <w:rPr>
          <w:rFonts w:ascii="Times New Roman" w:eastAsia="Arial" w:hAnsi="Times New Roman" w:cs="Times New Roman"/>
          <w:color w:val="000000"/>
          <w:sz w:val="24"/>
          <w:szCs w:val="24"/>
        </w:rPr>
        <w:t xml:space="preserve"> 89,847.75 VND per share.</w:t>
      </w:r>
    </w:p>
    <w:p w14:paraId="050504EA" w14:textId="77777777"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By calculating the average P/E ratios of the previous 5 years (2018-2022), we came up with an index of 11.12 and value TLG at 60,980.26 VND during the similar period. </w:t>
      </w:r>
    </w:p>
    <w:p w14:paraId="2C9A442D" w14:textId="77777777"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lastRenderedPageBreak/>
        <w:t>The last P/E ratio referred to the current price multiple by Investing.com (June 30th, 2023), resulting in the price of 72,141.33 VND per share. </w:t>
      </w:r>
    </w:p>
    <w:p w14:paraId="35362A8B" w14:textId="77777777"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Taking the average of the calculated prices, we got 74,323.11 VND as a suitable price for a Thien Long share according to the P/E valuation method.</w:t>
      </w:r>
    </w:p>
    <w:p w14:paraId="7A0AF92C" w14:textId="77777777" w:rsidR="0054545C" w:rsidRPr="00660493" w:rsidRDefault="00000000" w:rsidP="00EA0354">
      <w:pPr>
        <w:numPr>
          <w:ilvl w:val="0"/>
          <w:numId w:val="5"/>
        </w:num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Relative valuation</w:t>
      </w:r>
    </w:p>
    <w:p w14:paraId="120615A8"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b/>
          <w:noProof/>
          <w:color w:val="000000"/>
          <w:sz w:val="24"/>
          <w:szCs w:val="24"/>
        </w:rPr>
        <w:drawing>
          <wp:inline distT="0" distB="0" distL="0" distR="0" wp14:anchorId="25911166" wp14:editId="49554720">
            <wp:extent cx="4472292" cy="1872251"/>
            <wp:effectExtent l="0" t="0" r="0" b="0"/>
            <wp:docPr id="2131251273" name="image15.png" descr="A yellow rectangl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yellow rectangle with black text&#10;&#10;Description automatically generated"/>
                    <pic:cNvPicPr preferRelativeResize="0"/>
                  </pic:nvPicPr>
                  <pic:blipFill>
                    <a:blip r:embed="rId17"/>
                    <a:srcRect/>
                    <a:stretch>
                      <a:fillRect/>
                    </a:stretch>
                  </pic:blipFill>
                  <pic:spPr>
                    <a:xfrm>
                      <a:off x="0" y="0"/>
                      <a:ext cx="4472292" cy="1872251"/>
                    </a:xfrm>
                    <a:prstGeom prst="rect">
                      <a:avLst/>
                    </a:prstGeom>
                    <a:ln/>
                  </pic:spPr>
                </pic:pic>
              </a:graphicData>
            </a:graphic>
          </wp:inline>
        </w:drawing>
      </w:r>
    </w:p>
    <w:p w14:paraId="0E798D80" w14:textId="77777777"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b/>
          <w:noProof/>
          <w:color w:val="000000"/>
          <w:sz w:val="24"/>
          <w:szCs w:val="24"/>
        </w:rPr>
        <w:drawing>
          <wp:inline distT="0" distB="0" distL="0" distR="0" wp14:anchorId="679684FE" wp14:editId="1478F378">
            <wp:extent cx="4615180" cy="1397635"/>
            <wp:effectExtent l="0" t="0" r="0" b="0"/>
            <wp:docPr id="2131251271" name="image3.png" descr="A person holding a yellow rectangular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person holding a yellow rectangular object&#10;&#10;Description automatically generated"/>
                    <pic:cNvPicPr preferRelativeResize="0"/>
                  </pic:nvPicPr>
                  <pic:blipFill>
                    <a:blip r:embed="rId18"/>
                    <a:srcRect/>
                    <a:stretch>
                      <a:fillRect/>
                    </a:stretch>
                  </pic:blipFill>
                  <pic:spPr>
                    <a:xfrm>
                      <a:off x="0" y="0"/>
                      <a:ext cx="4615180" cy="1397635"/>
                    </a:xfrm>
                    <a:prstGeom prst="rect">
                      <a:avLst/>
                    </a:prstGeom>
                    <a:ln/>
                  </pic:spPr>
                </pic:pic>
              </a:graphicData>
            </a:graphic>
          </wp:inline>
        </w:drawing>
      </w:r>
    </w:p>
    <w:p w14:paraId="68361534" w14:textId="5E777EE8" w:rsidR="0054545C" w:rsidRPr="00660493" w:rsidRDefault="00000000" w:rsidP="00EA0354">
      <w:pPr>
        <w:pBdr>
          <w:top w:val="nil"/>
          <w:left w:val="nil"/>
          <w:bottom w:val="nil"/>
          <w:right w:val="nil"/>
          <w:between w:val="nil"/>
        </w:pBdr>
        <w:spacing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Although the share price reflects the company's intrinsic value, it also tends to fluctuate with the movement of the market and specifically the movement of the industry. Thus, by using comparable ratios such as EV/EBITDA and P/E from the industry, we hope to </w:t>
      </w:r>
      <w:r w:rsidR="00660493">
        <w:rPr>
          <w:rFonts w:ascii="Times New Roman" w:eastAsia="Arial" w:hAnsi="Times New Roman" w:cs="Times New Roman"/>
          <w:color w:val="000000"/>
          <w:sz w:val="24"/>
          <w:szCs w:val="24"/>
        </w:rPr>
        <w:t>adjust</w:t>
      </w:r>
      <w:r w:rsidRPr="00660493">
        <w:rPr>
          <w:rFonts w:ascii="Times New Roman" w:eastAsia="Arial" w:hAnsi="Times New Roman" w:cs="Times New Roman"/>
          <w:color w:val="000000"/>
          <w:sz w:val="24"/>
          <w:szCs w:val="24"/>
        </w:rPr>
        <w:t xml:space="preserve"> TLG’s share price under the effect of the market. </w:t>
      </w:r>
    </w:p>
    <w:p w14:paraId="7DD86472" w14:textId="77777777" w:rsidR="0054545C" w:rsidRPr="00660493" w:rsidRDefault="00000000" w:rsidP="00EA0354">
      <w:pPr>
        <w:pStyle w:val="Heading2"/>
        <w:numPr>
          <w:ilvl w:val="0"/>
          <w:numId w:val="9"/>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lastRenderedPageBreak/>
        <w:t>Valuation Summary and Analysis</w:t>
      </w:r>
    </w:p>
    <w:p w14:paraId="71927394" w14:textId="77777777" w:rsidR="0054545C" w:rsidRPr="00660493" w:rsidRDefault="00000000" w:rsidP="00EA0354">
      <w:pPr>
        <w:spacing w:after="100" w:line="360" w:lineRule="auto"/>
        <w:jc w:val="both"/>
        <w:rPr>
          <w:rFonts w:ascii="Times New Roman" w:eastAsia="Arial" w:hAnsi="Times New Roman" w:cs="Times New Roman"/>
          <w:sz w:val="24"/>
          <w:szCs w:val="24"/>
        </w:rPr>
      </w:pPr>
      <w:r w:rsidRPr="00660493">
        <w:rPr>
          <w:rFonts w:ascii="Times New Roman" w:eastAsia="Arial" w:hAnsi="Times New Roman" w:cs="Times New Roman"/>
          <w:noProof/>
          <w:color w:val="000000"/>
          <w:sz w:val="24"/>
          <w:szCs w:val="24"/>
        </w:rPr>
        <w:drawing>
          <wp:inline distT="0" distB="0" distL="0" distR="0" wp14:anchorId="7F210B58" wp14:editId="31BD3D7C">
            <wp:extent cx="3836035" cy="2399030"/>
            <wp:effectExtent l="0" t="0" r="0" b="0"/>
            <wp:docPr id="2131251272" name="image4.png" descr="A table with numbers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table with numbers and symbols&#10;&#10;Description automatically generated"/>
                    <pic:cNvPicPr preferRelativeResize="0"/>
                  </pic:nvPicPr>
                  <pic:blipFill>
                    <a:blip r:embed="rId19"/>
                    <a:srcRect/>
                    <a:stretch>
                      <a:fillRect/>
                    </a:stretch>
                  </pic:blipFill>
                  <pic:spPr>
                    <a:xfrm>
                      <a:off x="0" y="0"/>
                      <a:ext cx="3836035" cy="2399030"/>
                    </a:xfrm>
                    <a:prstGeom prst="rect">
                      <a:avLst/>
                    </a:prstGeom>
                    <a:ln/>
                  </pic:spPr>
                </pic:pic>
              </a:graphicData>
            </a:graphic>
          </wp:inline>
        </w:drawing>
      </w:r>
    </w:p>
    <w:p w14:paraId="1A68F2DF" w14:textId="77777777" w:rsidR="0054545C" w:rsidRPr="00660493" w:rsidRDefault="00000000" w:rsidP="00EA0354">
      <w:pPr>
        <w:spacing w:after="100" w:line="360" w:lineRule="auto"/>
        <w:jc w:val="both"/>
        <w:rPr>
          <w:rFonts w:ascii="Times New Roman" w:eastAsia="Arial" w:hAnsi="Times New Roman" w:cs="Times New Roman"/>
          <w:sz w:val="24"/>
          <w:szCs w:val="24"/>
        </w:rPr>
      </w:pPr>
      <w:r w:rsidRPr="00660493">
        <w:rPr>
          <w:rFonts w:ascii="Times New Roman" w:eastAsia="Arial" w:hAnsi="Times New Roman" w:cs="Times New Roman"/>
          <w:noProof/>
          <w:color w:val="000000"/>
          <w:sz w:val="24"/>
          <w:szCs w:val="24"/>
        </w:rPr>
        <w:drawing>
          <wp:inline distT="0" distB="0" distL="0" distR="0" wp14:anchorId="43EC841B" wp14:editId="6394D347">
            <wp:extent cx="2719705" cy="1199515"/>
            <wp:effectExtent l="0" t="0" r="0" b="0"/>
            <wp:docPr id="2131251274" name="image9.png" descr="A yellow and black rectangular label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yellow and black rectangular label with black text&#10;&#10;Description automatically generated"/>
                    <pic:cNvPicPr preferRelativeResize="0"/>
                  </pic:nvPicPr>
                  <pic:blipFill>
                    <a:blip r:embed="rId20"/>
                    <a:srcRect/>
                    <a:stretch>
                      <a:fillRect/>
                    </a:stretch>
                  </pic:blipFill>
                  <pic:spPr>
                    <a:xfrm>
                      <a:off x="0" y="0"/>
                      <a:ext cx="2719705" cy="1199515"/>
                    </a:xfrm>
                    <a:prstGeom prst="rect">
                      <a:avLst/>
                    </a:prstGeom>
                    <a:ln/>
                  </pic:spPr>
                </pic:pic>
              </a:graphicData>
            </a:graphic>
          </wp:inline>
        </w:drawing>
      </w:r>
    </w:p>
    <w:p w14:paraId="473A2376" w14:textId="77777777" w:rsidR="0054545C" w:rsidRPr="00660493" w:rsidRDefault="00000000" w:rsidP="00EA0354">
      <w:pPr>
        <w:spacing w:after="10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xml:space="preserve">In conclusion, the combination of literally 5 major valuations produces the final share price for TLG at 73,287 VND. The reliable FCF-Based Valuation Models get </w:t>
      </w:r>
      <w:proofErr w:type="gramStart"/>
      <w:r w:rsidRPr="00660493">
        <w:rPr>
          <w:rFonts w:ascii="Times New Roman" w:eastAsia="Arial" w:hAnsi="Times New Roman" w:cs="Times New Roman"/>
          <w:color w:val="000000"/>
          <w:sz w:val="24"/>
          <w:szCs w:val="24"/>
        </w:rPr>
        <w:t>the</w:t>
      </w:r>
      <w:proofErr w:type="gramEnd"/>
      <w:r w:rsidRPr="00660493">
        <w:rPr>
          <w:rFonts w:ascii="Times New Roman" w:eastAsia="Arial" w:hAnsi="Times New Roman" w:cs="Times New Roman"/>
          <w:color w:val="000000"/>
          <w:sz w:val="24"/>
          <w:szCs w:val="24"/>
        </w:rPr>
        <w:t xml:space="preserve"> total of 70% of total weight under the DCF and APV valuation. Both the Earning-Based and Dividend-Based Valuation Models each get 10% due to characteristics of dividend and price. The supplement relative or comparable valuation will get 10% divided for P/E and EV/EBITDA multiple equally to recognize the effect of market and competitors to TLG share price as well as share valuation. </w:t>
      </w:r>
    </w:p>
    <w:p w14:paraId="1C6F4687" w14:textId="77777777" w:rsidR="0054545C" w:rsidRPr="00660493" w:rsidRDefault="00000000" w:rsidP="00EA0354">
      <w:pPr>
        <w:pStyle w:val="Heading3"/>
        <w:numPr>
          <w:ilvl w:val="0"/>
          <w:numId w:val="10"/>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Sensitivity analysis and Scenario Analysis</w:t>
      </w:r>
    </w:p>
    <w:p w14:paraId="73F168A7" w14:textId="77777777" w:rsidR="0054545C" w:rsidRPr="00660493" w:rsidRDefault="0054545C" w:rsidP="00EA0354">
      <w:pPr>
        <w:spacing w:after="0" w:line="360" w:lineRule="auto"/>
        <w:jc w:val="both"/>
        <w:rPr>
          <w:rFonts w:ascii="Times New Roman" w:eastAsia="Arial" w:hAnsi="Times New Roman" w:cs="Times New Roman"/>
          <w:sz w:val="24"/>
          <w:szCs w:val="24"/>
        </w:rPr>
      </w:pPr>
    </w:p>
    <w:p w14:paraId="0F48D70A"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For each valuation, we will perform sensitivity analysis as well as scenario analysis. The detailed results will be shown under Appendix. </w:t>
      </w:r>
    </w:p>
    <w:p w14:paraId="786E6495" w14:textId="77777777" w:rsidR="0054545C" w:rsidRPr="00660493" w:rsidRDefault="0054545C" w:rsidP="00EA0354">
      <w:pPr>
        <w:spacing w:after="0" w:line="360" w:lineRule="auto"/>
        <w:jc w:val="both"/>
        <w:rPr>
          <w:rFonts w:ascii="Times New Roman" w:eastAsia="Arial" w:hAnsi="Times New Roman" w:cs="Times New Roman"/>
          <w:sz w:val="24"/>
          <w:szCs w:val="24"/>
        </w:rPr>
      </w:pPr>
    </w:p>
    <w:p w14:paraId="3E15B30C"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To carry out sensitivity analysis we will look at the changes of importance such as WACC, internal growth rate, EV/EBITDA, etc. The changes in each ratio or percentage will be 1 unit or 1 percent respectively. Various results share price under difference ratio and figures are shown in the table format with illustrating color from green to red representing highest to lowest logically.</w:t>
      </w:r>
    </w:p>
    <w:p w14:paraId="6182A435" w14:textId="77777777" w:rsidR="0054545C" w:rsidRPr="00660493" w:rsidRDefault="0054545C" w:rsidP="00EA0354">
      <w:pPr>
        <w:spacing w:after="0" w:line="360" w:lineRule="auto"/>
        <w:jc w:val="both"/>
        <w:rPr>
          <w:rFonts w:ascii="Times New Roman" w:eastAsia="Arial" w:hAnsi="Times New Roman" w:cs="Times New Roman"/>
          <w:sz w:val="24"/>
          <w:szCs w:val="24"/>
        </w:rPr>
      </w:pPr>
    </w:p>
    <w:p w14:paraId="6BE25EB7" w14:textId="77777777" w:rsidR="0054545C" w:rsidRPr="00660493" w:rsidRDefault="00000000" w:rsidP="00EA0354">
      <w:pPr>
        <w:pStyle w:val="Heading3"/>
        <w:numPr>
          <w:ilvl w:val="0"/>
          <w:numId w:val="10"/>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Monte Carlo Simulation</w:t>
      </w:r>
    </w:p>
    <w:p w14:paraId="66588E09"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b/>
          <w:noProof/>
          <w:color w:val="000000"/>
          <w:sz w:val="24"/>
          <w:szCs w:val="24"/>
        </w:rPr>
        <w:drawing>
          <wp:inline distT="0" distB="0" distL="0" distR="0" wp14:anchorId="5F7A31F8" wp14:editId="6DDBD580">
            <wp:extent cx="5943600" cy="2954655"/>
            <wp:effectExtent l="0" t="0" r="0" b="0"/>
            <wp:docPr id="2131251275" name="image10.png" descr="A graph showing a blue and red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graph showing a blue and red graph&#10;&#10;Description automatically generated"/>
                    <pic:cNvPicPr preferRelativeResize="0"/>
                  </pic:nvPicPr>
                  <pic:blipFill>
                    <a:blip r:embed="rId21"/>
                    <a:srcRect/>
                    <a:stretch>
                      <a:fillRect/>
                    </a:stretch>
                  </pic:blipFill>
                  <pic:spPr>
                    <a:xfrm>
                      <a:off x="0" y="0"/>
                      <a:ext cx="5943600" cy="2954655"/>
                    </a:xfrm>
                    <a:prstGeom prst="rect">
                      <a:avLst/>
                    </a:prstGeom>
                    <a:ln/>
                  </pic:spPr>
                </pic:pic>
              </a:graphicData>
            </a:graphic>
          </wp:inline>
        </w:drawing>
      </w:r>
    </w:p>
    <w:p w14:paraId="6E4DDD56" w14:textId="77777777"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00000"/>
          <w:sz w:val="24"/>
          <w:szCs w:val="24"/>
        </w:rPr>
        <w:t xml:space="preserve">For Monte Carlo Simulation, based on predetermined probability of several important factors affecting the final share price such sales growth domestically and internationally, WACC, EV/EBITDA, Tax rates, and expenses, etc. The results show that more than 50% of the share price will be higher than the approximate final calculated share price at 73,000 VND. However, in some extreme circumstances, share prices can reach as low as zero and negative or as high as 180,000 VND. The extreme situation will only have a </w:t>
      </w:r>
      <w:proofErr w:type="gramStart"/>
      <w:r w:rsidRPr="00660493">
        <w:rPr>
          <w:rFonts w:ascii="Times New Roman" w:eastAsia="Arial" w:hAnsi="Times New Roman" w:cs="Times New Roman"/>
          <w:color w:val="000000"/>
          <w:sz w:val="24"/>
          <w:szCs w:val="24"/>
        </w:rPr>
        <w:t>really small</w:t>
      </w:r>
      <w:proofErr w:type="gramEnd"/>
      <w:r w:rsidRPr="00660493">
        <w:rPr>
          <w:rFonts w:ascii="Times New Roman" w:eastAsia="Arial" w:hAnsi="Times New Roman" w:cs="Times New Roman"/>
          <w:color w:val="000000"/>
          <w:sz w:val="24"/>
          <w:szCs w:val="24"/>
        </w:rPr>
        <w:t xml:space="preserve"> probability when all the factors move together favorably or negatively. </w:t>
      </w:r>
    </w:p>
    <w:p w14:paraId="3C3125ED" w14:textId="77777777" w:rsidR="0054545C" w:rsidRPr="00660493" w:rsidRDefault="00000000" w:rsidP="00EA0354">
      <w:pPr>
        <w:pStyle w:val="Heading1"/>
        <w:numPr>
          <w:ilvl w:val="0"/>
          <w:numId w:val="1"/>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Potential Risks</w:t>
      </w:r>
    </w:p>
    <w:p w14:paraId="4488CE56" w14:textId="77777777" w:rsidR="0054545C" w:rsidRPr="00660493" w:rsidRDefault="00000000" w:rsidP="00EA0354">
      <w:pPr>
        <w:pStyle w:val="Heading2"/>
        <w:numPr>
          <w:ilvl w:val="0"/>
          <w:numId w:val="14"/>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Operational Risks</w:t>
      </w:r>
    </w:p>
    <w:p w14:paraId="4F609FE5" w14:textId="77777777" w:rsidR="0054545C" w:rsidRPr="00660493" w:rsidRDefault="00000000" w:rsidP="00EA0354">
      <w:pPr>
        <w:pStyle w:val="Heading3"/>
        <w:numPr>
          <w:ilvl w:val="0"/>
          <w:numId w:val="20"/>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Inventory management risks: </w:t>
      </w:r>
    </w:p>
    <w:p w14:paraId="48E2E830"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From the inventory turnover analysis above, </w:t>
      </w:r>
      <w:proofErr w:type="gramStart"/>
      <w:r w:rsidRPr="00660493">
        <w:rPr>
          <w:rFonts w:ascii="Times New Roman" w:eastAsia="Arial" w:hAnsi="Times New Roman" w:cs="Times New Roman"/>
          <w:sz w:val="24"/>
          <w:szCs w:val="24"/>
        </w:rPr>
        <w:t>it is clear that TLG</w:t>
      </w:r>
      <w:proofErr w:type="gramEnd"/>
      <w:r w:rsidRPr="00660493">
        <w:rPr>
          <w:rFonts w:ascii="Times New Roman" w:eastAsia="Arial" w:hAnsi="Times New Roman" w:cs="Times New Roman"/>
          <w:sz w:val="24"/>
          <w:szCs w:val="24"/>
        </w:rPr>
        <w:t xml:space="preserve"> always has an inventory risk, so any disruption related to production, supply chain or personnel will seriously affect TLG's inventory management. These aspects can have consequences such as work accidents, unsatisfactory quality control, delivery delays or simply product inefficiencies leading to an increase in inventory capacity. The most obvious is in the field of supply chain, facing uncertain events in the world related to inflation and politics (Anh, 2022). Any disruption related to the supply chain will increase Thien Long's inventory backlog issues. Thus, TLG must always be in a state of readiness to respond to such cases.</w:t>
      </w:r>
    </w:p>
    <w:p w14:paraId="43F244AA" w14:textId="77777777" w:rsidR="0054545C" w:rsidRPr="00660493" w:rsidRDefault="00000000" w:rsidP="00EA0354">
      <w:pPr>
        <w:pStyle w:val="Heading3"/>
        <w:numPr>
          <w:ilvl w:val="0"/>
          <w:numId w:val="20"/>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lastRenderedPageBreak/>
        <w:t>Technology and IT Risks: </w:t>
      </w:r>
    </w:p>
    <w:p w14:paraId="404115AF" w14:textId="06F664FD"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The digital age has exposed Thien Long Group to experience some possible risks such as system failures, data leaks, </w:t>
      </w:r>
      <w:r w:rsidR="00660493" w:rsidRPr="00660493">
        <w:rPr>
          <w:rFonts w:ascii="Times New Roman" w:eastAsia="Arial" w:hAnsi="Times New Roman" w:cs="Times New Roman"/>
          <w:sz w:val="24"/>
          <w:szCs w:val="24"/>
        </w:rPr>
        <w:t>cyber-attacks</w:t>
      </w:r>
      <w:r w:rsidRPr="00660493">
        <w:rPr>
          <w:rFonts w:ascii="Times New Roman" w:eastAsia="Arial" w:hAnsi="Times New Roman" w:cs="Times New Roman"/>
          <w:sz w:val="24"/>
          <w:szCs w:val="24"/>
        </w:rPr>
        <w:t xml:space="preserve"> or online platform disruptions. These risks can lead to operational disruptions, loss of sensitive data, reputational damage, and financial losses. However, it should be noticed that in 2020, TLG and FPT have had an agreement of Digital Transformation Procedure in 2 years with a view to reducing technology risks as well as sustaining and developing its business. This means that TLG is aware of these digital risks and willing to solve them for the best of </w:t>
      </w:r>
      <w:r w:rsidR="00660493" w:rsidRPr="00660493">
        <w:rPr>
          <w:rFonts w:ascii="Times New Roman" w:eastAsia="Arial" w:hAnsi="Times New Roman" w:cs="Times New Roman"/>
          <w:sz w:val="24"/>
          <w:szCs w:val="24"/>
        </w:rPr>
        <w:t>interest</w:t>
      </w:r>
      <w:r w:rsidRPr="00660493">
        <w:rPr>
          <w:rFonts w:ascii="Times New Roman" w:eastAsia="Arial" w:hAnsi="Times New Roman" w:cs="Times New Roman"/>
          <w:sz w:val="24"/>
          <w:szCs w:val="24"/>
        </w:rPr>
        <w:t>.</w:t>
      </w:r>
    </w:p>
    <w:p w14:paraId="1BE9B1F1" w14:textId="77777777" w:rsidR="0054545C" w:rsidRPr="00660493" w:rsidRDefault="00000000" w:rsidP="00EA0354">
      <w:pPr>
        <w:pStyle w:val="Heading2"/>
        <w:numPr>
          <w:ilvl w:val="0"/>
          <w:numId w:val="14"/>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Economics Risks:</w:t>
      </w:r>
    </w:p>
    <w:p w14:paraId="6F5C3C72" w14:textId="77777777" w:rsidR="0054545C" w:rsidRPr="00660493" w:rsidRDefault="00000000" w:rsidP="00EA0354">
      <w:pPr>
        <w:pStyle w:val="Heading3"/>
        <w:numPr>
          <w:ilvl w:val="0"/>
          <w:numId w:val="3"/>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Exchange rate volatility risk:</w:t>
      </w:r>
    </w:p>
    <w:p w14:paraId="4087CFB5"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With the world economic situation facing many difficulties in 2023, exchange rates have fluctuated and inflation happens in many countries. This adversely affects Thien Long Group as this company mostly imports input materials from abroad, increasing the risk of risks related to TLG's production cost management activities (TLG, 2023). Exchange rate fluctuations may also affect the export competitiveness of Thien Long Group. If the VND strengthens against the currencies of export markets, it could make the prices of Thien Long Group's products more expensive relative to foreign buyers. This is likely to reduce demand for the company's products and affect its export revenue.</w:t>
      </w:r>
    </w:p>
    <w:p w14:paraId="35383AFB" w14:textId="77777777" w:rsidR="0054545C" w:rsidRPr="00660493" w:rsidRDefault="0054545C" w:rsidP="00EA0354">
      <w:pPr>
        <w:spacing w:after="240" w:line="360" w:lineRule="auto"/>
        <w:jc w:val="both"/>
        <w:rPr>
          <w:rFonts w:ascii="Times New Roman" w:eastAsia="Arial" w:hAnsi="Times New Roman" w:cs="Times New Roman"/>
          <w:sz w:val="24"/>
          <w:szCs w:val="24"/>
        </w:rPr>
      </w:pPr>
    </w:p>
    <w:p w14:paraId="493B7C0F" w14:textId="77777777" w:rsidR="0054545C" w:rsidRPr="00660493" w:rsidRDefault="00000000" w:rsidP="00EA0354">
      <w:pPr>
        <w:pStyle w:val="Heading3"/>
        <w:numPr>
          <w:ilvl w:val="0"/>
          <w:numId w:val="3"/>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Inflation risk: </w:t>
      </w:r>
    </w:p>
    <w:p w14:paraId="0A13333B"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In the first 5 months of 2023, CPI recorded an increase of 3.55% over the same period last year; core inflation increased by 4.83% (Hai, 2023). This affects the ability to consume and especially the production costs that are likely to increase, leading to an increase in output prices. It will be a challenge for TLG to control the balance in cost calculation.</w:t>
      </w:r>
    </w:p>
    <w:p w14:paraId="1DA10181" w14:textId="77777777" w:rsidR="0054545C" w:rsidRPr="00660493" w:rsidRDefault="00000000" w:rsidP="00EA0354">
      <w:pPr>
        <w:pStyle w:val="Heading2"/>
        <w:numPr>
          <w:ilvl w:val="0"/>
          <w:numId w:val="14"/>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Financial Risks</w:t>
      </w:r>
    </w:p>
    <w:p w14:paraId="44C365A4" w14:textId="77777777" w:rsidR="0054545C" w:rsidRPr="00660493" w:rsidRDefault="00000000" w:rsidP="00EA0354">
      <w:pPr>
        <w:pStyle w:val="Heading3"/>
        <w:numPr>
          <w:ilvl w:val="0"/>
          <w:numId w:val="6"/>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t>Liquidity Risk</w:t>
      </w:r>
    </w:p>
    <w:tbl>
      <w:tblPr>
        <w:tblStyle w:val="a7"/>
        <w:tblW w:w="9344" w:type="dxa"/>
        <w:tblLayout w:type="fixed"/>
        <w:tblLook w:val="0400" w:firstRow="0" w:lastRow="0" w:firstColumn="0" w:lastColumn="0" w:noHBand="0" w:noVBand="1"/>
      </w:tblPr>
      <w:tblGrid>
        <w:gridCol w:w="4805"/>
        <w:gridCol w:w="631"/>
        <w:gridCol w:w="753"/>
        <w:gridCol w:w="631"/>
        <w:gridCol w:w="631"/>
        <w:gridCol w:w="631"/>
        <w:gridCol w:w="631"/>
        <w:gridCol w:w="631"/>
      </w:tblGrid>
      <w:tr w:rsidR="0054545C" w:rsidRPr="00660493" w14:paraId="1A0BD1B5" w14:textId="77777777">
        <w:trPr>
          <w:trHeight w:val="345"/>
        </w:trPr>
        <w:tc>
          <w:tcPr>
            <w:tcW w:w="4805"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171F0BC3" w14:textId="77777777" w:rsidR="0054545C" w:rsidRPr="00660493" w:rsidRDefault="0054545C" w:rsidP="00EA0354">
            <w:pPr>
              <w:spacing w:after="240" w:line="360" w:lineRule="auto"/>
              <w:jc w:val="both"/>
              <w:rPr>
                <w:rFonts w:ascii="Times New Roman" w:eastAsia="Arial" w:hAnsi="Times New Roman" w:cs="Times New Roman"/>
                <w:sz w:val="24"/>
                <w:szCs w:val="24"/>
              </w:rPr>
            </w:pPr>
          </w:p>
        </w:tc>
        <w:tc>
          <w:tcPr>
            <w:tcW w:w="631"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1D1300BF"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sz w:val="24"/>
                <w:szCs w:val="24"/>
              </w:rPr>
              <w:t>2016</w:t>
            </w:r>
          </w:p>
        </w:tc>
        <w:tc>
          <w:tcPr>
            <w:tcW w:w="753"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7D106F1B"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sz w:val="24"/>
                <w:szCs w:val="24"/>
              </w:rPr>
              <w:t>2017</w:t>
            </w:r>
          </w:p>
        </w:tc>
        <w:tc>
          <w:tcPr>
            <w:tcW w:w="631"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7A836933"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sz w:val="24"/>
                <w:szCs w:val="24"/>
              </w:rPr>
              <w:t>2018</w:t>
            </w:r>
          </w:p>
        </w:tc>
        <w:tc>
          <w:tcPr>
            <w:tcW w:w="631"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1E67B640"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sz w:val="24"/>
                <w:szCs w:val="24"/>
              </w:rPr>
              <w:t>2019</w:t>
            </w:r>
          </w:p>
        </w:tc>
        <w:tc>
          <w:tcPr>
            <w:tcW w:w="631"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0BC77E4F"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sz w:val="24"/>
                <w:szCs w:val="24"/>
              </w:rPr>
              <w:t>2020</w:t>
            </w:r>
          </w:p>
        </w:tc>
        <w:tc>
          <w:tcPr>
            <w:tcW w:w="631"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7F4553F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sz w:val="24"/>
                <w:szCs w:val="24"/>
              </w:rPr>
              <w:t>2021</w:t>
            </w:r>
          </w:p>
        </w:tc>
        <w:tc>
          <w:tcPr>
            <w:tcW w:w="631" w:type="dxa"/>
            <w:tcBorders>
              <w:top w:val="single" w:sz="6" w:space="0" w:color="000000"/>
              <w:left w:val="single" w:sz="6" w:space="0" w:color="000000"/>
              <w:bottom w:val="single" w:sz="6" w:space="0" w:color="000000"/>
              <w:right w:val="single" w:sz="6" w:space="0" w:color="000000"/>
            </w:tcBorders>
            <w:shd w:val="clear" w:color="auto" w:fill="00B0F0"/>
            <w:tcMar>
              <w:top w:w="40" w:type="dxa"/>
              <w:left w:w="40" w:type="dxa"/>
              <w:bottom w:w="40" w:type="dxa"/>
              <w:right w:w="40" w:type="dxa"/>
            </w:tcMar>
            <w:vAlign w:val="bottom"/>
          </w:tcPr>
          <w:p w14:paraId="21B4396D"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sz w:val="24"/>
                <w:szCs w:val="24"/>
              </w:rPr>
              <w:t>2022</w:t>
            </w:r>
          </w:p>
        </w:tc>
      </w:tr>
      <w:tr w:rsidR="0054545C" w:rsidRPr="00660493" w14:paraId="20791DB7" w14:textId="77777777">
        <w:trPr>
          <w:trHeight w:val="345"/>
        </w:trPr>
        <w:tc>
          <w:tcPr>
            <w:tcW w:w="48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78CEB1"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i/>
                <w:sz w:val="24"/>
                <w:szCs w:val="24"/>
              </w:rPr>
              <w:lastRenderedPageBreak/>
              <w:t>X1 = Working capital / Total assets</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9E3024"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0.442</w:t>
            </w:r>
          </w:p>
        </w:tc>
        <w:tc>
          <w:tcPr>
            <w:tcW w:w="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A9DF18"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0.394</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E08C08"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0.379</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919E6"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0.528</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13644B"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0.519</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FB85FB"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0.527</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4FEE64"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0.454</w:t>
            </w:r>
          </w:p>
        </w:tc>
      </w:tr>
      <w:tr w:rsidR="0054545C" w:rsidRPr="00660493" w14:paraId="2F57D6EB" w14:textId="77777777">
        <w:trPr>
          <w:trHeight w:val="345"/>
        </w:trPr>
        <w:tc>
          <w:tcPr>
            <w:tcW w:w="48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75AF79"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i/>
                <w:sz w:val="24"/>
                <w:szCs w:val="24"/>
              </w:rPr>
              <w:t>X2 = Retained earnings / Total assets</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D9A56C"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0.228</w:t>
            </w:r>
          </w:p>
        </w:tc>
        <w:tc>
          <w:tcPr>
            <w:tcW w:w="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C12BA"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0.255</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573208"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0.237</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2702D2"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0.198</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A408AF"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0.177</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EDE59D"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0.187</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8E68D0"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0.193</w:t>
            </w:r>
          </w:p>
        </w:tc>
      </w:tr>
      <w:tr w:rsidR="0054545C" w:rsidRPr="00660493" w14:paraId="0AF6888D" w14:textId="77777777">
        <w:trPr>
          <w:trHeight w:val="345"/>
        </w:trPr>
        <w:tc>
          <w:tcPr>
            <w:tcW w:w="48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DCC9AA"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i/>
                <w:sz w:val="24"/>
                <w:szCs w:val="24"/>
              </w:rPr>
              <w:t>X3 = Earnings before interest and taxes / Total assets</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3165DC"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0.111</w:t>
            </w:r>
          </w:p>
        </w:tc>
        <w:tc>
          <w:tcPr>
            <w:tcW w:w="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1D805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0.125</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D248A6"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0.151</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39F27A"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0.101</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181AF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0.034</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D078F6"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0.046</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BD446B"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0.138</w:t>
            </w:r>
          </w:p>
        </w:tc>
      </w:tr>
      <w:tr w:rsidR="0054545C" w:rsidRPr="00660493" w14:paraId="010E05D8" w14:textId="77777777">
        <w:trPr>
          <w:trHeight w:val="345"/>
        </w:trPr>
        <w:tc>
          <w:tcPr>
            <w:tcW w:w="48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E14E3C"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i/>
                <w:sz w:val="24"/>
                <w:szCs w:val="24"/>
              </w:rPr>
              <w:t>X4 = Market value of equity / Book value of total liabilities</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831271"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8.411</w:t>
            </w:r>
          </w:p>
        </w:tc>
        <w:tc>
          <w:tcPr>
            <w:tcW w:w="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6726D6"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10.040</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49928C"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8.122</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87BE2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5.089</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97C2D4"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5.357</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A09D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5.716</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F97518"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4.355</w:t>
            </w:r>
          </w:p>
        </w:tc>
      </w:tr>
      <w:tr w:rsidR="0054545C" w:rsidRPr="00660493" w14:paraId="71B0B0E4" w14:textId="77777777">
        <w:trPr>
          <w:trHeight w:val="345"/>
        </w:trPr>
        <w:tc>
          <w:tcPr>
            <w:tcW w:w="48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02E712"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i/>
                <w:sz w:val="24"/>
                <w:szCs w:val="24"/>
              </w:rPr>
              <w:t>X5 = Sales / Total assets</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67487A"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1.562</w:t>
            </w:r>
          </w:p>
        </w:tc>
        <w:tc>
          <w:tcPr>
            <w:tcW w:w="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54325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1.592</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1D31A1"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1.591</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05B7D2"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1.346</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69ADF6"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1.160</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437276"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1.091</w:t>
            </w:r>
          </w:p>
        </w:tc>
        <w:tc>
          <w:tcPr>
            <w:tcW w:w="63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8AE645"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1.227</w:t>
            </w:r>
          </w:p>
        </w:tc>
      </w:tr>
      <w:tr w:rsidR="0054545C" w:rsidRPr="00660493" w14:paraId="4580FA58" w14:textId="77777777">
        <w:trPr>
          <w:trHeight w:val="345"/>
        </w:trPr>
        <w:tc>
          <w:tcPr>
            <w:tcW w:w="48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27F1424"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Altman Z-Score = 1.2X1+1.4X2+3.3X3+0.6X4+1X5</w:t>
            </w:r>
          </w:p>
        </w:tc>
        <w:tc>
          <w:tcPr>
            <w:tcW w:w="631" w:type="dxa"/>
            <w:tcBorders>
              <w:top w:val="single" w:sz="6" w:space="0" w:color="000000"/>
              <w:left w:val="single" w:sz="6" w:space="0" w:color="000000"/>
              <w:bottom w:val="single" w:sz="6" w:space="0" w:color="000000"/>
              <w:right w:val="single" w:sz="6" w:space="0" w:color="000000"/>
            </w:tcBorders>
            <w:shd w:val="clear" w:color="auto" w:fill="63BE7B"/>
            <w:tcMar>
              <w:top w:w="40" w:type="dxa"/>
              <w:left w:w="40" w:type="dxa"/>
              <w:bottom w:w="40" w:type="dxa"/>
              <w:right w:w="40" w:type="dxa"/>
            </w:tcMar>
            <w:vAlign w:val="bottom"/>
          </w:tcPr>
          <w:p w14:paraId="00345F8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7.824</w:t>
            </w:r>
          </w:p>
        </w:tc>
        <w:tc>
          <w:tcPr>
            <w:tcW w:w="753" w:type="dxa"/>
            <w:tcBorders>
              <w:top w:val="single" w:sz="6" w:space="0" w:color="000000"/>
              <w:left w:val="single" w:sz="6" w:space="0" w:color="000000"/>
              <w:bottom w:val="single" w:sz="6" w:space="0" w:color="000000"/>
              <w:right w:val="single" w:sz="6" w:space="0" w:color="000000"/>
            </w:tcBorders>
            <w:shd w:val="clear" w:color="auto" w:fill="63BE7B"/>
            <w:tcMar>
              <w:top w:w="40" w:type="dxa"/>
              <w:left w:w="40" w:type="dxa"/>
              <w:bottom w:w="40" w:type="dxa"/>
              <w:right w:w="40" w:type="dxa"/>
            </w:tcMar>
            <w:vAlign w:val="bottom"/>
          </w:tcPr>
          <w:p w14:paraId="74428015"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8.858</w:t>
            </w:r>
          </w:p>
        </w:tc>
        <w:tc>
          <w:tcPr>
            <w:tcW w:w="631" w:type="dxa"/>
            <w:tcBorders>
              <w:top w:val="single" w:sz="6" w:space="0" w:color="000000"/>
              <w:left w:val="single" w:sz="6" w:space="0" w:color="000000"/>
              <w:bottom w:val="single" w:sz="6" w:space="0" w:color="000000"/>
              <w:right w:val="single" w:sz="6" w:space="0" w:color="000000"/>
            </w:tcBorders>
            <w:shd w:val="clear" w:color="auto" w:fill="63BE7B"/>
            <w:tcMar>
              <w:top w:w="40" w:type="dxa"/>
              <w:left w:w="40" w:type="dxa"/>
              <w:bottom w:w="40" w:type="dxa"/>
              <w:right w:w="40" w:type="dxa"/>
            </w:tcMar>
            <w:vAlign w:val="bottom"/>
          </w:tcPr>
          <w:p w14:paraId="363899FF"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7.751</w:t>
            </w:r>
          </w:p>
        </w:tc>
        <w:tc>
          <w:tcPr>
            <w:tcW w:w="631" w:type="dxa"/>
            <w:tcBorders>
              <w:top w:val="single" w:sz="6" w:space="0" w:color="000000"/>
              <w:left w:val="single" w:sz="6" w:space="0" w:color="000000"/>
              <w:bottom w:val="single" w:sz="6" w:space="0" w:color="000000"/>
              <w:right w:val="single" w:sz="6" w:space="0" w:color="000000"/>
            </w:tcBorders>
            <w:shd w:val="clear" w:color="auto" w:fill="CDDD82"/>
            <w:tcMar>
              <w:top w:w="40" w:type="dxa"/>
              <w:left w:w="40" w:type="dxa"/>
              <w:bottom w:w="40" w:type="dxa"/>
              <w:right w:w="40" w:type="dxa"/>
            </w:tcMar>
            <w:vAlign w:val="bottom"/>
          </w:tcPr>
          <w:p w14:paraId="347890F2"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5.644</w:t>
            </w:r>
          </w:p>
        </w:tc>
        <w:tc>
          <w:tcPr>
            <w:tcW w:w="631" w:type="dxa"/>
            <w:tcBorders>
              <w:top w:val="single" w:sz="6" w:space="0" w:color="000000"/>
              <w:left w:val="single" w:sz="6" w:space="0" w:color="000000"/>
              <w:bottom w:val="single" w:sz="6" w:space="0" w:color="000000"/>
              <w:right w:val="single" w:sz="6" w:space="0" w:color="000000"/>
            </w:tcBorders>
            <w:shd w:val="clear" w:color="auto" w:fill="E4E383"/>
            <w:tcMar>
              <w:top w:w="40" w:type="dxa"/>
              <w:left w:w="40" w:type="dxa"/>
              <w:bottom w:w="40" w:type="dxa"/>
              <w:right w:w="40" w:type="dxa"/>
            </w:tcMar>
            <w:vAlign w:val="bottom"/>
          </w:tcPr>
          <w:p w14:paraId="105D6E6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5.356</w:t>
            </w:r>
          </w:p>
        </w:tc>
        <w:tc>
          <w:tcPr>
            <w:tcW w:w="631" w:type="dxa"/>
            <w:tcBorders>
              <w:top w:val="single" w:sz="6" w:space="0" w:color="000000"/>
              <w:left w:val="single" w:sz="6" w:space="0" w:color="000000"/>
              <w:bottom w:val="single" w:sz="6" w:space="0" w:color="000000"/>
              <w:right w:val="single" w:sz="6" w:space="0" w:color="000000"/>
            </w:tcBorders>
            <w:shd w:val="clear" w:color="auto" w:fill="D3DF82"/>
            <w:tcMar>
              <w:top w:w="40" w:type="dxa"/>
              <w:left w:w="40" w:type="dxa"/>
              <w:bottom w:w="40" w:type="dxa"/>
              <w:right w:w="40" w:type="dxa"/>
            </w:tcMar>
            <w:vAlign w:val="bottom"/>
          </w:tcPr>
          <w:p w14:paraId="6B62359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5.565</w:t>
            </w:r>
          </w:p>
        </w:tc>
        <w:tc>
          <w:tcPr>
            <w:tcW w:w="631" w:type="dxa"/>
            <w:tcBorders>
              <w:top w:val="single" w:sz="6" w:space="0" w:color="000000"/>
              <w:left w:val="single" w:sz="6" w:space="0" w:color="000000"/>
              <w:bottom w:val="single" w:sz="6" w:space="0" w:color="000000"/>
              <w:right w:val="single" w:sz="6" w:space="0" w:color="000000"/>
            </w:tcBorders>
            <w:shd w:val="clear" w:color="auto" w:fill="F7E984"/>
            <w:tcMar>
              <w:top w:w="40" w:type="dxa"/>
              <w:left w:w="40" w:type="dxa"/>
              <w:bottom w:w="40" w:type="dxa"/>
              <w:right w:w="40" w:type="dxa"/>
            </w:tcMar>
            <w:vAlign w:val="bottom"/>
          </w:tcPr>
          <w:p w14:paraId="31AFEF6D"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5.112</w:t>
            </w:r>
          </w:p>
        </w:tc>
      </w:tr>
    </w:tbl>
    <w:p w14:paraId="0010E255" w14:textId="77777777" w:rsidR="0054545C" w:rsidRPr="00660493" w:rsidRDefault="0054545C" w:rsidP="00EA0354">
      <w:pPr>
        <w:spacing w:after="240" w:line="360" w:lineRule="auto"/>
        <w:jc w:val="both"/>
        <w:rPr>
          <w:rFonts w:ascii="Times New Roman" w:eastAsia="Arial" w:hAnsi="Times New Roman" w:cs="Times New Roman"/>
          <w:sz w:val="24"/>
          <w:szCs w:val="24"/>
        </w:rPr>
      </w:pPr>
    </w:p>
    <w:p w14:paraId="22C77A9F" w14:textId="281A0F3B"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 xml:space="preserve">To measure the company’s financial health, we use Altman Z-score to analyze TLG’s liquidity risk. We extend the period to 2016 </w:t>
      </w:r>
      <w:proofErr w:type="gramStart"/>
      <w:r w:rsidRPr="00660493">
        <w:rPr>
          <w:rFonts w:ascii="Times New Roman" w:eastAsia="Arial" w:hAnsi="Times New Roman" w:cs="Times New Roman"/>
          <w:sz w:val="24"/>
          <w:szCs w:val="24"/>
        </w:rPr>
        <w:t>in order to</w:t>
      </w:r>
      <w:proofErr w:type="gramEnd"/>
      <w:r w:rsidRPr="00660493">
        <w:rPr>
          <w:rFonts w:ascii="Times New Roman" w:eastAsia="Arial" w:hAnsi="Times New Roman" w:cs="Times New Roman"/>
          <w:sz w:val="24"/>
          <w:szCs w:val="24"/>
        </w:rPr>
        <w:t xml:space="preserve"> clarify more clearly about the trend of the Z-score. As shown in the Table (...), the Z-score of Thien Long Group maintained above 3.0 throughout the period 2016 to 2022, meaning that it has low probability of bankruptcy and guarantees the safety for investors to invest in its business. One of the clearest reasons is because TLG has significantly low debt and liability throughout the years as TLG is a stable and mature company that does not need any leverage. The most ideal period was </w:t>
      </w:r>
      <w:r w:rsidR="00660493" w:rsidRPr="00660493">
        <w:rPr>
          <w:rFonts w:ascii="Times New Roman" w:eastAsia="Arial" w:hAnsi="Times New Roman" w:cs="Times New Roman"/>
          <w:sz w:val="24"/>
          <w:szCs w:val="24"/>
        </w:rPr>
        <w:t>from</w:t>
      </w:r>
      <w:r w:rsidRPr="00660493">
        <w:rPr>
          <w:rFonts w:ascii="Times New Roman" w:eastAsia="Arial" w:hAnsi="Times New Roman" w:cs="Times New Roman"/>
          <w:sz w:val="24"/>
          <w:szCs w:val="24"/>
        </w:rPr>
        <w:t xml:space="preserve"> 2016 to 2018, when the Z-score </w:t>
      </w:r>
      <w:proofErr w:type="gramStart"/>
      <w:r w:rsidRPr="00660493">
        <w:rPr>
          <w:rFonts w:ascii="Times New Roman" w:eastAsia="Arial" w:hAnsi="Times New Roman" w:cs="Times New Roman"/>
          <w:sz w:val="24"/>
          <w:szCs w:val="24"/>
        </w:rPr>
        <w:t>estimated</w:t>
      </w:r>
      <w:proofErr w:type="gramEnd"/>
      <w:r w:rsidRPr="00660493">
        <w:rPr>
          <w:rFonts w:ascii="Times New Roman" w:eastAsia="Arial" w:hAnsi="Times New Roman" w:cs="Times New Roman"/>
          <w:sz w:val="24"/>
          <w:szCs w:val="24"/>
        </w:rPr>
        <w:t xml:space="preserve"> between 7.0 to above 8.0. However, it showed a downward trend in the following year, from 2019 to 2022, to nearly 5.0, indicating an increased risk of potential financial difficulties. Even though these numbers are still in the safe zone, they indicate a worsening financial situation.</w:t>
      </w:r>
    </w:p>
    <w:p w14:paraId="59B7F1E4" w14:textId="77777777" w:rsidR="0054545C" w:rsidRPr="00660493" w:rsidRDefault="00000000" w:rsidP="00EA0354">
      <w:pPr>
        <w:pStyle w:val="Heading3"/>
        <w:numPr>
          <w:ilvl w:val="0"/>
          <w:numId w:val="6"/>
        </w:numPr>
        <w:spacing w:before="0" w:line="360" w:lineRule="auto"/>
        <w:jc w:val="both"/>
        <w:rPr>
          <w:rFonts w:ascii="Times New Roman" w:eastAsia="Arial" w:hAnsi="Times New Roman" w:cs="Times New Roman"/>
        </w:rPr>
      </w:pPr>
      <w:r w:rsidRPr="00660493">
        <w:rPr>
          <w:rFonts w:ascii="Times New Roman" w:eastAsia="Arial" w:hAnsi="Times New Roman" w:cs="Times New Roman"/>
        </w:rPr>
        <w:lastRenderedPageBreak/>
        <w:t>Market Risk</w:t>
      </w:r>
    </w:p>
    <w:p w14:paraId="00C78DED"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b/>
          <w:noProof/>
          <w:sz w:val="24"/>
          <w:szCs w:val="24"/>
        </w:rPr>
        <w:drawing>
          <wp:inline distT="0" distB="0" distL="0" distR="0" wp14:anchorId="259A8A9C" wp14:editId="34C446EF">
            <wp:extent cx="5943600" cy="3084195"/>
            <wp:effectExtent l="0" t="0" r="0" b="0"/>
            <wp:docPr id="2131251276" name="image2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screenshot of a computer&#10;&#10;Description automatically generated"/>
                    <pic:cNvPicPr preferRelativeResize="0"/>
                  </pic:nvPicPr>
                  <pic:blipFill>
                    <a:blip r:embed="rId22"/>
                    <a:srcRect/>
                    <a:stretch>
                      <a:fillRect/>
                    </a:stretch>
                  </pic:blipFill>
                  <pic:spPr>
                    <a:xfrm>
                      <a:off x="0" y="0"/>
                      <a:ext cx="5943600" cy="3084195"/>
                    </a:xfrm>
                    <a:prstGeom prst="rect">
                      <a:avLst/>
                    </a:prstGeom>
                    <a:ln/>
                  </pic:spPr>
                </pic:pic>
              </a:graphicData>
            </a:graphic>
          </wp:inline>
        </w:drawing>
      </w:r>
    </w:p>
    <w:p w14:paraId="029C6543" w14:textId="0FE0E5DE"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The value at risk (</w:t>
      </w:r>
      <w:proofErr w:type="spellStart"/>
      <w:r w:rsidRPr="00660493">
        <w:rPr>
          <w:rFonts w:ascii="Times New Roman" w:eastAsia="Arial" w:hAnsi="Times New Roman" w:cs="Times New Roman"/>
          <w:sz w:val="24"/>
          <w:szCs w:val="24"/>
        </w:rPr>
        <w:t>VaR</w:t>
      </w:r>
      <w:proofErr w:type="spellEnd"/>
      <w:r w:rsidRPr="00660493">
        <w:rPr>
          <w:rFonts w:ascii="Times New Roman" w:eastAsia="Arial" w:hAnsi="Times New Roman" w:cs="Times New Roman"/>
          <w:sz w:val="24"/>
          <w:szCs w:val="24"/>
        </w:rPr>
        <w:t xml:space="preserve">) is an important aspect to measure the volatility of stock price of TLG in </w:t>
      </w:r>
      <w:r w:rsidR="00660493" w:rsidRPr="00660493">
        <w:rPr>
          <w:rFonts w:ascii="Times New Roman" w:eastAsia="Arial" w:hAnsi="Times New Roman" w:cs="Times New Roman"/>
          <w:sz w:val="24"/>
          <w:szCs w:val="24"/>
        </w:rPr>
        <w:t>the market</w:t>
      </w:r>
      <w:r w:rsidRPr="00660493">
        <w:rPr>
          <w:rFonts w:ascii="Times New Roman" w:eastAsia="Arial" w:hAnsi="Times New Roman" w:cs="Times New Roman"/>
          <w:sz w:val="24"/>
          <w:szCs w:val="24"/>
        </w:rPr>
        <w:t xml:space="preserve">. We use our data of TLG’s stock price of 1000 trading days from 3 </w:t>
      </w:r>
      <w:proofErr w:type="gramStart"/>
      <w:r w:rsidRPr="00660493">
        <w:rPr>
          <w:rFonts w:ascii="Times New Roman" w:eastAsia="Arial" w:hAnsi="Times New Roman" w:cs="Times New Roman"/>
          <w:sz w:val="24"/>
          <w:szCs w:val="24"/>
        </w:rPr>
        <w:t>July,</w:t>
      </w:r>
      <w:proofErr w:type="gramEnd"/>
      <w:r w:rsidRPr="00660493">
        <w:rPr>
          <w:rFonts w:ascii="Times New Roman" w:eastAsia="Arial" w:hAnsi="Times New Roman" w:cs="Times New Roman"/>
          <w:sz w:val="24"/>
          <w:szCs w:val="24"/>
        </w:rPr>
        <w:t xml:space="preserve"> 2019 to 30 </w:t>
      </w:r>
      <w:proofErr w:type="gramStart"/>
      <w:r w:rsidRPr="00660493">
        <w:rPr>
          <w:rFonts w:ascii="Times New Roman" w:eastAsia="Arial" w:hAnsi="Times New Roman" w:cs="Times New Roman"/>
          <w:sz w:val="24"/>
          <w:szCs w:val="24"/>
        </w:rPr>
        <w:t>June,</w:t>
      </w:r>
      <w:proofErr w:type="gramEnd"/>
      <w:r w:rsidRPr="00660493">
        <w:rPr>
          <w:rFonts w:ascii="Times New Roman" w:eastAsia="Arial" w:hAnsi="Times New Roman" w:cs="Times New Roman"/>
          <w:sz w:val="24"/>
          <w:szCs w:val="24"/>
        </w:rPr>
        <w:t xml:space="preserve"> 2023 to calculate and analyze. </w:t>
      </w:r>
      <w:proofErr w:type="gramStart"/>
      <w:r w:rsidRPr="00660493">
        <w:rPr>
          <w:rFonts w:ascii="Times New Roman" w:eastAsia="Arial" w:hAnsi="Times New Roman" w:cs="Times New Roman"/>
          <w:sz w:val="24"/>
          <w:szCs w:val="24"/>
        </w:rPr>
        <w:t>With regard to</w:t>
      </w:r>
      <w:proofErr w:type="gramEnd"/>
      <w:r w:rsidRPr="00660493">
        <w:rPr>
          <w:rFonts w:ascii="Times New Roman" w:eastAsia="Arial" w:hAnsi="Times New Roman" w:cs="Times New Roman"/>
          <w:sz w:val="24"/>
          <w:szCs w:val="24"/>
        </w:rPr>
        <w:t xml:space="preserve"> the historical approach, the outcomes show that the investor's maximum daily loss would be 3,626.93 VND at a 95% confidence level and 6,783.80 VND at a 99% confidence level. The results of the model-building strategy are slightly different from those of the historical technique. The daily </w:t>
      </w:r>
      <w:proofErr w:type="spellStart"/>
      <w:r w:rsidRPr="00660493">
        <w:rPr>
          <w:rFonts w:ascii="Times New Roman" w:eastAsia="Arial" w:hAnsi="Times New Roman" w:cs="Times New Roman"/>
          <w:sz w:val="24"/>
          <w:szCs w:val="24"/>
        </w:rPr>
        <w:t>VaR</w:t>
      </w:r>
      <w:proofErr w:type="spellEnd"/>
      <w:r w:rsidRPr="00660493">
        <w:rPr>
          <w:rFonts w:ascii="Times New Roman" w:eastAsia="Arial" w:hAnsi="Times New Roman" w:cs="Times New Roman"/>
          <w:sz w:val="24"/>
          <w:szCs w:val="24"/>
        </w:rPr>
        <w:t xml:space="preserve"> was 6,414.67 VND and 4,535.52 VND, respectively, at 99% and 95%. Moreover, we also apply the 2-tailed </w:t>
      </w:r>
      <w:proofErr w:type="spellStart"/>
      <w:r w:rsidRPr="00660493">
        <w:rPr>
          <w:rFonts w:ascii="Times New Roman" w:eastAsia="Arial" w:hAnsi="Times New Roman" w:cs="Times New Roman"/>
          <w:sz w:val="24"/>
          <w:szCs w:val="24"/>
        </w:rPr>
        <w:t>backtesting</w:t>
      </w:r>
      <w:proofErr w:type="spellEnd"/>
      <w:r w:rsidRPr="00660493">
        <w:rPr>
          <w:rFonts w:ascii="Times New Roman" w:eastAsia="Arial" w:hAnsi="Times New Roman" w:cs="Times New Roman"/>
          <w:sz w:val="24"/>
          <w:szCs w:val="24"/>
        </w:rPr>
        <w:t xml:space="preserve"> to check the model's correctness. 13 exceptions exist for the daily </w:t>
      </w:r>
      <w:proofErr w:type="spellStart"/>
      <w:r w:rsidRPr="00660493">
        <w:rPr>
          <w:rFonts w:ascii="Times New Roman" w:eastAsia="Arial" w:hAnsi="Times New Roman" w:cs="Times New Roman"/>
          <w:sz w:val="24"/>
          <w:szCs w:val="24"/>
        </w:rPr>
        <w:t>VaR</w:t>
      </w:r>
      <w:proofErr w:type="spellEnd"/>
      <w:r w:rsidRPr="00660493">
        <w:rPr>
          <w:rFonts w:ascii="Times New Roman" w:eastAsia="Arial" w:hAnsi="Times New Roman" w:cs="Times New Roman"/>
          <w:sz w:val="24"/>
          <w:szCs w:val="24"/>
        </w:rPr>
        <w:t xml:space="preserve"> at 99%, which means that 13 times out of every 1000 days, the value was higher than the </w:t>
      </w:r>
      <w:proofErr w:type="spellStart"/>
      <w:r w:rsidRPr="00660493">
        <w:rPr>
          <w:rFonts w:ascii="Times New Roman" w:eastAsia="Arial" w:hAnsi="Times New Roman" w:cs="Times New Roman"/>
          <w:sz w:val="24"/>
          <w:szCs w:val="24"/>
        </w:rPr>
        <w:t>VaR</w:t>
      </w:r>
      <w:proofErr w:type="spellEnd"/>
      <w:r w:rsidRPr="00660493">
        <w:rPr>
          <w:rFonts w:ascii="Times New Roman" w:eastAsia="Arial" w:hAnsi="Times New Roman" w:cs="Times New Roman"/>
          <w:sz w:val="24"/>
          <w:szCs w:val="24"/>
        </w:rPr>
        <w:t xml:space="preserve"> at 99%. The 2-tailed </w:t>
      </w:r>
      <w:proofErr w:type="spellStart"/>
      <w:r w:rsidRPr="00660493">
        <w:rPr>
          <w:rFonts w:ascii="Times New Roman" w:eastAsia="Arial" w:hAnsi="Times New Roman" w:cs="Times New Roman"/>
          <w:sz w:val="24"/>
          <w:szCs w:val="24"/>
        </w:rPr>
        <w:t>backtesting</w:t>
      </w:r>
      <w:proofErr w:type="spellEnd"/>
      <w:r w:rsidRPr="00660493">
        <w:rPr>
          <w:rFonts w:ascii="Times New Roman" w:eastAsia="Arial" w:hAnsi="Times New Roman" w:cs="Times New Roman"/>
          <w:sz w:val="24"/>
          <w:szCs w:val="24"/>
        </w:rPr>
        <w:t xml:space="preserve"> also shows that we should accept the result for </w:t>
      </w:r>
      <w:proofErr w:type="spellStart"/>
      <w:r w:rsidRPr="00660493">
        <w:rPr>
          <w:rFonts w:ascii="Times New Roman" w:eastAsia="Arial" w:hAnsi="Times New Roman" w:cs="Times New Roman"/>
          <w:sz w:val="24"/>
          <w:szCs w:val="24"/>
        </w:rPr>
        <w:t>VaR</w:t>
      </w:r>
      <w:proofErr w:type="spellEnd"/>
      <w:r w:rsidRPr="00660493">
        <w:rPr>
          <w:rFonts w:ascii="Times New Roman" w:eastAsia="Arial" w:hAnsi="Times New Roman" w:cs="Times New Roman"/>
          <w:sz w:val="24"/>
          <w:szCs w:val="24"/>
        </w:rPr>
        <w:t xml:space="preserve"> at 99%. Meanwhile, there were 30 exceptions in the daily </w:t>
      </w:r>
      <w:proofErr w:type="spellStart"/>
      <w:r w:rsidRPr="00660493">
        <w:rPr>
          <w:rFonts w:ascii="Times New Roman" w:eastAsia="Arial" w:hAnsi="Times New Roman" w:cs="Times New Roman"/>
          <w:sz w:val="24"/>
          <w:szCs w:val="24"/>
        </w:rPr>
        <w:t>VaR</w:t>
      </w:r>
      <w:proofErr w:type="spellEnd"/>
      <w:r w:rsidRPr="00660493">
        <w:rPr>
          <w:rFonts w:ascii="Times New Roman" w:eastAsia="Arial" w:hAnsi="Times New Roman" w:cs="Times New Roman"/>
          <w:sz w:val="24"/>
          <w:szCs w:val="24"/>
        </w:rPr>
        <w:t xml:space="preserve"> at 95% </w:t>
      </w:r>
      <w:proofErr w:type="spellStart"/>
      <w:r w:rsidRPr="00660493">
        <w:rPr>
          <w:rFonts w:ascii="Times New Roman" w:eastAsia="Arial" w:hAnsi="Times New Roman" w:cs="Times New Roman"/>
          <w:sz w:val="24"/>
          <w:szCs w:val="24"/>
        </w:rPr>
        <w:t>VaR</w:t>
      </w:r>
      <w:proofErr w:type="spellEnd"/>
      <w:r w:rsidRPr="00660493">
        <w:rPr>
          <w:rFonts w:ascii="Times New Roman" w:eastAsia="Arial" w:hAnsi="Times New Roman" w:cs="Times New Roman"/>
          <w:sz w:val="24"/>
          <w:szCs w:val="24"/>
        </w:rPr>
        <w:t xml:space="preserve">, or 30 out of 1000 chances where the investor lost more money than what we had predicted for a day. The 1-day </w:t>
      </w:r>
      <w:proofErr w:type="spellStart"/>
      <w:r w:rsidRPr="00660493">
        <w:rPr>
          <w:rFonts w:ascii="Times New Roman" w:eastAsia="Arial" w:hAnsi="Times New Roman" w:cs="Times New Roman"/>
          <w:sz w:val="24"/>
          <w:szCs w:val="24"/>
        </w:rPr>
        <w:t>VaR</w:t>
      </w:r>
      <w:proofErr w:type="spellEnd"/>
      <w:r w:rsidRPr="00660493">
        <w:rPr>
          <w:rFonts w:ascii="Times New Roman" w:eastAsia="Arial" w:hAnsi="Times New Roman" w:cs="Times New Roman"/>
          <w:sz w:val="24"/>
          <w:szCs w:val="24"/>
        </w:rPr>
        <w:t xml:space="preserve"> model at 95% is also invalid, as shown by the result of the testing. Thus, we can draw the conclusion that the outcome should be rejected.</w:t>
      </w:r>
    </w:p>
    <w:p w14:paraId="44E57C9B" w14:textId="77777777" w:rsidR="0054545C" w:rsidRPr="00660493" w:rsidRDefault="00000000" w:rsidP="00EA0354">
      <w:pPr>
        <w:pStyle w:val="Heading1"/>
        <w:numPr>
          <w:ilvl w:val="0"/>
          <w:numId w:val="1"/>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Limitations</w:t>
      </w:r>
    </w:p>
    <w:p w14:paraId="32EA0D4D" w14:textId="0F8CDE75" w:rsidR="0054545C" w:rsidRPr="00660493" w:rsidRDefault="00000000" w:rsidP="00EA0354">
      <w:pPr>
        <w:pBdr>
          <w:top w:val="nil"/>
          <w:left w:val="nil"/>
          <w:bottom w:val="nil"/>
          <w:right w:val="nil"/>
          <w:between w:val="nil"/>
        </w:pBdr>
        <w:spacing w:after="24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During the process of collecting information, conducting research, and delivering the report, there are some limitations.</w:t>
      </w:r>
    </w:p>
    <w:p w14:paraId="580D1D09" w14:textId="77777777" w:rsidR="0054545C" w:rsidRPr="00660493" w:rsidRDefault="00000000" w:rsidP="00EA0354">
      <w:pPr>
        <w:pBdr>
          <w:top w:val="nil"/>
          <w:left w:val="nil"/>
          <w:bottom w:val="nil"/>
          <w:right w:val="nil"/>
          <w:between w:val="nil"/>
        </w:pBdr>
        <w:spacing w:after="24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lastRenderedPageBreak/>
        <w:t>First, we intended to include a bottom-up valuation method, but there are restricted available sources of information to obtain a detailed understanding of the entire production and distribution process of a company's products and services. It affects the overall estimation as each of the methods contributes a certain percentage to comprehensively analyze the company’s stock value. </w:t>
      </w:r>
    </w:p>
    <w:p w14:paraId="0A1FC8DA" w14:textId="77777777" w:rsidR="0054545C" w:rsidRPr="00660493" w:rsidRDefault="00000000" w:rsidP="00EA0354">
      <w:pPr>
        <w:pBdr>
          <w:top w:val="nil"/>
          <w:left w:val="nil"/>
          <w:bottom w:val="nil"/>
          <w:right w:val="nil"/>
          <w:between w:val="nil"/>
        </w:pBdr>
        <w:spacing w:after="24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Second, the stationery industry in Vietnam has the participation of both local companies such as Thien Long and Hong Ha, and foreign companies such as Pentel, Deli. However, when considering listed companies, as of June 30, 2023, only Thien Long remained listed with its ticker - TLG. This makes it difficult to compare and evaluate micro-factors about competitors in the market due to the lack of publicly available information.</w:t>
      </w:r>
    </w:p>
    <w:p w14:paraId="0068F9DD" w14:textId="77777777" w:rsidR="0054545C" w:rsidRPr="00660493" w:rsidRDefault="00000000" w:rsidP="00EA0354">
      <w:pPr>
        <w:pBdr>
          <w:top w:val="nil"/>
          <w:left w:val="nil"/>
          <w:bottom w:val="nil"/>
          <w:right w:val="nil"/>
          <w:between w:val="nil"/>
        </w:pBdr>
        <w:spacing w:after="24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Last, we also determine that there is a limitation to our estimation as some of our numbers and ratios are assumed. This is because of the lack of information and data as we have mentioned above. However, we have managed to give assumptions with the most precise reasoning that increases the validity of our results.</w:t>
      </w:r>
    </w:p>
    <w:p w14:paraId="56463C45" w14:textId="77777777" w:rsidR="0054545C" w:rsidRPr="00660493" w:rsidRDefault="00000000" w:rsidP="00EA0354">
      <w:pPr>
        <w:pStyle w:val="Heading1"/>
        <w:numPr>
          <w:ilvl w:val="0"/>
          <w:numId w:val="1"/>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t>Recommendations</w:t>
      </w:r>
    </w:p>
    <w:p w14:paraId="5F830A9E" w14:textId="77777777" w:rsidR="0054545C" w:rsidRPr="00660493" w:rsidRDefault="00000000" w:rsidP="00EA0354">
      <w:pPr>
        <w:spacing w:after="24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40404"/>
          <w:sz w:val="24"/>
          <w:szCs w:val="24"/>
        </w:rPr>
        <w:t>Generally, based on the financial ratio analysis, cash flow forecast and valuation, TLG has had stable financial performance throughout the years and great potential to grow. Therefore, we can suggest a “Buy” recommendation for the investors as the company can guarantee a return for its shareholders.</w:t>
      </w:r>
    </w:p>
    <w:p w14:paraId="413B38AC" w14:textId="21E78BEA" w:rsidR="0054545C" w:rsidRPr="00660493" w:rsidRDefault="00000000" w:rsidP="00EA0354">
      <w:pPr>
        <w:spacing w:after="0" w:line="360" w:lineRule="auto"/>
        <w:jc w:val="both"/>
        <w:rPr>
          <w:rFonts w:ascii="Times New Roman" w:eastAsia="Arial" w:hAnsi="Times New Roman" w:cs="Times New Roman"/>
          <w:sz w:val="24"/>
          <w:szCs w:val="24"/>
        </w:rPr>
      </w:pPr>
      <w:r w:rsidRPr="00660493">
        <w:rPr>
          <w:rFonts w:ascii="Times New Roman" w:eastAsia="Arial" w:hAnsi="Times New Roman" w:cs="Times New Roman"/>
          <w:color w:val="040404"/>
          <w:sz w:val="24"/>
          <w:szCs w:val="24"/>
        </w:rPr>
        <w:t xml:space="preserve">Additionally, we also suggest solutions for TLG to enhance its issues and weaknesses that we have mentioned in the previous parts. To begin with, TLG should focus on optimizing its revenue from the </w:t>
      </w:r>
      <w:r w:rsidR="00660493" w:rsidRPr="00660493">
        <w:rPr>
          <w:rFonts w:ascii="Times New Roman" w:eastAsia="Arial" w:hAnsi="Times New Roman" w:cs="Times New Roman"/>
          <w:color w:val="040404"/>
          <w:sz w:val="24"/>
          <w:szCs w:val="24"/>
        </w:rPr>
        <w:t>advantageous</w:t>
      </w:r>
      <w:r w:rsidR="00660493">
        <w:rPr>
          <w:rFonts w:ascii="Times New Roman" w:eastAsia="Arial" w:hAnsi="Times New Roman" w:cs="Times New Roman"/>
          <w:color w:val="040404"/>
          <w:sz w:val="24"/>
          <w:szCs w:val="24"/>
        </w:rPr>
        <w:t xml:space="preserve"> </w:t>
      </w:r>
      <w:r w:rsidR="00660493" w:rsidRPr="00660493">
        <w:rPr>
          <w:rFonts w:ascii="Times New Roman" w:eastAsia="Arial" w:hAnsi="Times New Roman" w:cs="Times New Roman"/>
          <w:color w:val="040404"/>
          <w:sz w:val="24"/>
          <w:szCs w:val="24"/>
        </w:rPr>
        <w:t>international</w:t>
      </w:r>
      <w:r w:rsidRPr="00660493">
        <w:rPr>
          <w:rFonts w:ascii="Times New Roman" w:eastAsia="Arial" w:hAnsi="Times New Roman" w:cs="Times New Roman"/>
          <w:color w:val="040404"/>
          <w:sz w:val="24"/>
          <w:szCs w:val="24"/>
        </w:rPr>
        <w:t xml:space="preserve"> markets. TLG has had the ambition of developing its exports expansion for years and according to our revenue analysis, TLG has a great opportunity with this plan. Moreover, to reduce the effect and cost of its inventory backlog problems, we believe TLG should create comprehensive inventory management guidelines. Lastly, as we have noticed, TLG has had significantly high retained earnings throughout the years, which is understandable at some points since TLG is in its maturity stage. However, the corporation can make use of these retained earnings wisely into its plan of international expansion or factory and manufacturing investment.</w:t>
      </w:r>
    </w:p>
    <w:p w14:paraId="17FA0032" w14:textId="77777777" w:rsidR="0054545C" w:rsidRPr="00660493" w:rsidRDefault="00000000" w:rsidP="00EA0354">
      <w:pPr>
        <w:pStyle w:val="Heading1"/>
        <w:numPr>
          <w:ilvl w:val="0"/>
          <w:numId w:val="1"/>
        </w:numPr>
        <w:spacing w:before="0" w:line="360" w:lineRule="auto"/>
        <w:jc w:val="both"/>
        <w:rPr>
          <w:rFonts w:ascii="Times New Roman" w:eastAsia="Arial" w:hAnsi="Times New Roman" w:cs="Times New Roman"/>
          <w:sz w:val="24"/>
          <w:szCs w:val="24"/>
        </w:rPr>
      </w:pPr>
      <w:r w:rsidRPr="00660493">
        <w:rPr>
          <w:rFonts w:ascii="Times New Roman" w:eastAsia="Arial" w:hAnsi="Times New Roman" w:cs="Times New Roman"/>
          <w:sz w:val="24"/>
          <w:szCs w:val="24"/>
        </w:rPr>
        <w:lastRenderedPageBreak/>
        <w:t>Conclusion </w:t>
      </w:r>
    </w:p>
    <w:p w14:paraId="6CE62C3E" w14:textId="4644758B" w:rsidR="0054545C" w:rsidRPr="00660493" w:rsidRDefault="00000000"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r w:rsidRPr="00660493">
        <w:rPr>
          <w:rFonts w:ascii="Times New Roman" w:eastAsia="Arial" w:hAnsi="Times New Roman" w:cs="Times New Roman"/>
          <w:color w:val="000000"/>
          <w:sz w:val="24"/>
          <w:szCs w:val="24"/>
        </w:rPr>
        <w:t xml:space="preserve">Regarding analysis about macro- and micro-economic factors, we conclude that Thien Long Group still retains its position as the national stationery brand in Vietnam and is gradually developing and expanding in foreign markets. Although the profit growth rate in foreign markets has not yet achieved the expected results, Thien Long still recorded an increase in annual revenue from this segment, showing a positive change in revenue structure between local and foreign streams. Considering TLG’s financial health, the ratios indicate that Thien Long has performed well throughout the years. However, there are some rather unsatisfying numbers which may bring possible issues for TLG, for example, long inventory turnover rate implies an ineffectiveness in inventory management. In terms of risk, we indicated that TLG has some macro and micro risks, two of the most important ones are market risk and liquidity risk. Fortunately, TLG does not endure the chances of bankruptcy as its Z-core has remained high (above 3.0). Meanwhile, we also estimated the maximum loss for TLG stock price via two approaches in determining value at risk. Understanding strengths and weaknesses of Thien Long Group, the valuation of TLG shares was conducted using five different methods with sensitivity and scenario analysis for each to measure and evaluate the possible share price performance under the market fluctuations. In conclusion, we recommend investors </w:t>
      </w:r>
      <w:r w:rsidR="00660493" w:rsidRPr="00660493">
        <w:rPr>
          <w:rFonts w:ascii="Times New Roman" w:eastAsia="Arial" w:hAnsi="Times New Roman" w:cs="Times New Roman"/>
          <w:color w:val="000000"/>
          <w:sz w:val="24"/>
          <w:szCs w:val="24"/>
        </w:rPr>
        <w:t>purchase</w:t>
      </w:r>
      <w:r w:rsidRPr="00660493">
        <w:rPr>
          <w:rFonts w:ascii="Times New Roman" w:eastAsia="Arial" w:hAnsi="Times New Roman" w:cs="Times New Roman"/>
          <w:color w:val="000000"/>
          <w:sz w:val="24"/>
          <w:szCs w:val="24"/>
        </w:rPr>
        <w:t xml:space="preserve"> TLG shares at price 73,287.43 VND per share to earn an expected profit of 25</w:t>
      </w:r>
      <w:proofErr w:type="gramStart"/>
      <w:r w:rsidRPr="00660493">
        <w:rPr>
          <w:rFonts w:ascii="Times New Roman" w:eastAsia="Arial" w:hAnsi="Times New Roman" w:cs="Times New Roman"/>
          <w:color w:val="000000"/>
          <w:sz w:val="24"/>
          <w:szCs w:val="24"/>
        </w:rPr>
        <w:t>% upside</w:t>
      </w:r>
      <w:proofErr w:type="gramEnd"/>
      <w:r w:rsidRPr="00660493">
        <w:rPr>
          <w:rFonts w:ascii="Times New Roman" w:eastAsia="Arial" w:hAnsi="Times New Roman" w:cs="Times New Roman"/>
          <w:color w:val="000000"/>
          <w:sz w:val="24"/>
          <w:szCs w:val="24"/>
        </w:rPr>
        <w:t xml:space="preserve"> at the end of 2023 in comparison to the current price on June 30th, 2023. By forecasting an increment in share price, we strongly believe in TLG’s potential to </w:t>
      </w:r>
      <w:r w:rsidR="00660493">
        <w:rPr>
          <w:rFonts w:ascii="Times New Roman" w:eastAsia="Arial" w:hAnsi="Times New Roman" w:cs="Times New Roman"/>
          <w:color w:val="000000"/>
          <w:sz w:val="24"/>
          <w:szCs w:val="24"/>
        </w:rPr>
        <w:t xml:space="preserve">grow </w:t>
      </w:r>
      <w:r w:rsidRPr="00660493">
        <w:rPr>
          <w:rFonts w:ascii="Times New Roman" w:eastAsia="Arial" w:hAnsi="Times New Roman" w:cs="Times New Roman"/>
          <w:color w:val="000000"/>
          <w:sz w:val="24"/>
          <w:szCs w:val="24"/>
        </w:rPr>
        <w:t>both locally and globally.</w:t>
      </w:r>
    </w:p>
    <w:p w14:paraId="553C3B8F" w14:textId="77777777" w:rsidR="0054545C" w:rsidRPr="00660493" w:rsidRDefault="0054545C" w:rsidP="00EA0354">
      <w:pPr>
        <w:pBdr>
          <w:top w:val="nil"/>
          <w:left w:val="nil"/>
          <w:bottom w:val="nil"/>
          <w:right w:val="nil"/>
          <w:between w:val="nil"/>
        </w:pBdr>
        <w:spacing w:after="200" w:line="360" w:lineRule="auto"/>
        <w:jc w:val="both"/>
        <w:rPr>
          <w:rFonts w:ascii="Times New Roman" w:eastAsia="Arial" w:hAnsi="Times New Roman" w:cs="Times New Roman"/>
          <w:color w:val="000000"/>
          <w:sz w:val="24"/>
          <w:szCs w:val="24"/>
        </w:rPr>
      </w:pPr>
    </w:p>
    <w:p w14:paraId="02C5D2AA" w14:textId="77777777" w:rsidR="0054545C" w:rsidRPr="00660493" w:rsidRDefault="00000000" w:rsidP="00EA0354">
      <w:pPr>
        <w:spacing w:line="360" w:lineRule="auto"/>
        <w:rPr>
          <w:rFonts w:ascii="Times New Roman" w:eastAsia="Arial" w:hAnsi="Times New Roman" w:cs="Times New Roman"/>
          <w:color w:val="000000"/>
          <w:sz w:val="24"/>
          <w:szCs w:val="24"/>
        </w:rPr>
      </w:pPr>
      <w:r w:rsidRPr="00660493">
        <w:rPr>
          <w:rFonts w:ascii="Times New Roman" w:hAnsi="Times New Roman" w:cs="Times New Roman"/>
          <w:sz w:val="24"/>
          <w:szCs w:val="24"/>
        </w:rPr>
        <w:br w:type="page"/>
      </w:r>
    </w:p>
    <w:p w14:paraId="7A2F84F1" w14:textId="77777777" w:rsidR="0054545C" w:rsidRDefault="00000000" w:rsidP="00EA0354">
      <w:pPr>
        <w:pStyle w:val="Heading1"/>
        <w:spacing w:before="0" w:line="360" w:lineRule="auto"/>
        <w:jc w:val="center"/>
        <w:rPr>
          <w:rFonts w:ascii="Times New Roman" w:hAnsi="Times New Roman" w:cs="Times New Roman"/>
          <w:sz w:val="24"/>
          <w:szCs w:val="24"/>
        </w:rPr>
      </w:pPr>
      <w:r w:rsidRPr="00660493">
        <w:rPr>
          <w:rFonts w:ascii="Times New Roman" w:hAnsi="Times New Roman" w:cs="Times New Roman"/>
          <w:sz w:val="24"/>
          <w:szCs w:val="24"/>
        </w:rPr>
        <w:lastRenderedPageBreak/>
        <w:t>References</w:t>
      </w:r>
    </w:p>
    <w:p w14:paraId="74FD826C" w14:textId="77777777" w:rsidR="00660493" w:rsidRPr="00660493" w:rsidRDefault="00660493" w:rsidP="00EA0354">
      <w:pPr>
        <w:spacing w:line="360" w:lineRule="auto"/>
      </w:pPr>
    </w:p>
    <w:p w14:paraId="0C0C12CF" w14:textId="77777777" w:rsidR="0054545C" w:rsidRPr="00660493" w:rsidRDefault="00000000" w:rsidP="00EA0354">
      <w:pPr>
        <w:spacing w:after="0" w:line="360" w:lineRule="auto"/>
        <w:ind w:hanging="720"/>
        <w:rPr>
          <w:rFonts w:ascii="Times New Roman" w:eastAsia="Times New Roman" w:hAnsi="Times New Roman" w:cs="Times New Roman"/>
          <w:sz w:val="24"/>
          <w:szCs w:val="24"/>
        </w:rPr>
      </w:pPr>
      <w:proofErr w:type="spellStart"/>
      <w:r w:rsidRPr="00660493">
        <w:rPr>
          <w:rFonts w:ascii="Times New Roman" w:eastAsia="Arial" w:hAnsi="Times New Roman" w:cs="Times New Roman"/>
          <w:color w:val="000000"/>
          <w:sz w:val="24"/>
          <w:szCs w:val="24"/>
        </w:rPr>
        <w:t>Alfarago</w:t>
      </w:r>
      <w:proofErr w:type="spellEnd"/>
      <w:r w:rsidRPr="00660493">
        <w:rPr>
          <w:rFonts w:ascii="Times New Roman" w:eastAsia="Arial" w:hAnsi="Times New Roman" w:cs="Times New Roman"/>
          <w:color w:val="000000"/>
          <w:sz w:val="24"/>
          <w:szCs w:val="24"/>
        </w:rPr>
        <w:t>, D. (2023). Analysis of Stock Investment Decisions through Price Earnings Ratio (A Case Study on Construction Service Companies). Vol 8, No 1, 857 - 859. Retrieved from http://jmas.unbari.ac.id/index.php/jmas/article/view/525/598</w:t>
      </w:r>
    </w:p>
    <w:p w14:paraId="463A3FFA" w14:textId="77777777" w:rsidR="0054545C" w:rsidRPr="00660493" w:rsidRDefault="00000000" w:rsidP="00EA0354">
      <w:pPr>
        <w:spacing w:after="0" w:line="360" w:lineRule="auto"/>
        <w:ind w:hanging="720"/>
        <w:rPr>
          <w:rFonts w:ascii="Times New Roman" w:eastAsia="Times New Roman" w:hAnsi="Times New Roman" w:cs="Times New Roman"/>
          <w:sz w:val="24"/>
          <w:szCs w:val="24"/>
        </w:rPr>
      </w:pPr>
      <w:r w:rsidRPr="00660493">
        <w:rPr>
          <w:rFonts w:ascii="Times New Roman" w:eastAsia="Arial" w:hAnsi="Times New Roman" w:cs="Times New Roman"/>
          <w:color w:val="000000"/>
          <w:sz w:val="24"/>
          <w:szCs w:val="24"/>
        </w:rPr>
        <w:t xml:space="preserve">Anh, N. (2022). Attempts made to </w:t>
      </w:r>
      <w:proofErr w:type="spellStart"/>
      <w:r w:rsidRPr="00660493">
        <w:rPr>
          <w:rFonts w:ascii="Times New Roman" w:eastAsia="Arial" w:hAnsi="Times New Roman" w:cs="Times New Roman"/>
          <w:color w:val="000000"/>
          <w:sz w:val="24"/>
          <w:szCs w:val="24"/>
        </w:rPr>
        <w:t>minimise</w:t>
      </w:r>
      <w:proofErr w:type="spellEnd"/>
      <w:r w:rsidRPr="00660493">
        <w:rPr>
          <w:rFonts w:ascii="Times New Roman" w:eastAsia="Arial" w:hAnsi="Times New Roman" w:cs="Times New Roman"/>
          <w:color w:val="000000"/>
          <w:sz w:val="24"/>
          <w:szCs w:val="24"/>
        </w:rPr>
        <w:t xml:space="preserve"> supply chain disruptions. </w:t>
      </w:r>
      <w:r w:rsidRPr="00660493">
        <w:rPr>
          <w:rFonts w:ascii="Times New Roman" w:eastAsia="Arial" w:hAnsi="Times New Roman" w:cs="Times New Roman"/>
          <w:i/>
          <w:color w:val="000000"/>
          <w:sz w:val="24"/>
          <w:szCs w:val="24"/>
        </w:rPr>
        <w:t>Vietnam Investment Review - VIR</w:t>
      </w:r>
      <w:r w:rsidRPr="00660493">
        <w:rPr>
          <w:rFonts w:ascii="Times New Roman" w:eastAsia="Arial" w:hAnsi="Times New Roman" w:cs="Times New Roman"/>
          <w:color w:val="000000"/>
          <w:sz w:val="24"/>
          <w:szCs w:val="24"/>
        </w:rPr>
        <w:t>. https://vir.com.vn/attempts-made-to-minimise-supply-chain-disruptions-96636.html</w:t>
      </w:r>
    </w:p>
    <w:p w14:paraId="43B53D2D" w14:textId="77777777" w:rsidR="0054545C" w:rsidRPr="00660493" w:rsidRDefault="00000000" w:rsidP="00EA0354">
      <w:pPr>
        <w:spacing w:after="0" w:line="360" w:lineRule="auto"/>
        <w:ind w:hanging="720"/>
        <w:rPr>
          <w:rFonts w:ascii="Times New Roman" w:eastAsia="Times New Roman" w:hAnsi="Times New Roman" w:cs="Times New Roman"/>
          <w:sz w:val="24"/>
          <w:szCs w:val="24"/>
        </w:rPr>
      </w:pPr>
      <w:r w:rsidRPr="00660493">
        <w:rPr>
          <w:rFonts w:ascii="Times New Roman" w:eastAsia="Arial" w:hAnsi="Times New Roman" w:cs="Times New Roman"/>
          <w:color w:val="000000"/>
          <w:sz w:val="24"/>
          <w:szCs w:val="24"/>
        </w:rPr>
        <w:t xml:space="preserve">Hai, T. (2023). 5 </w:t>
      </w:r>
      <w:proofErr w:type="spellStart"/>
      <w:r w:rsidRPr="00660493">
        <w:rPr>
          <w:rFonts w:ascii="Times New Roman" w:eastAsia="Arial" w:hAnsi="Times New Roman" w:cs="Times New Roman"/>
          <w:color w:val="000000"/>
          <w:sz w:val="24"/>
          <w:szCs w:val="24"/>
        </w:rPr>
        <w:t>tháng</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đầu</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năm</w:t>
      </w:r>
      <w:proofErr w:type="spellEnd"/>
      <w:r w:rsidRPr="00660493">
        <w:rPr>
          <w:rFonts w:ascii="Times New Roman" w:eastAsia="Arial" w:hAnsi="Times New Roman" w:cs="Times New Roman"/>
          <w:color w:val="000000"/>
          <w:sz w:val="24"/>
          <w:szCs w:val="24"/>
        </w:rPr>
        <w:t xml:space="preserve"> 2023 CPI, </w:t>
      </w:r>
      <w:proofErr w:type="spellStart"/>
      <w:r w:rsidRPr="00660493">
        <w:rPr>
          <w:rFonts w:ascii="Times New Roman" w:eastAsia="Arial" w:hAnsi="Times New Roman" w:cs="Times New Roman"/>
          <w:color w:val="000000"/>
          <w:sz w:val="24"/>
          <w:szCs w:val="24"/>
        </w:rPr>
        <w:t>lạm</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phát</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tăng</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nhẹ</w:t>
      </w:r>
      <w:proofErr w:type="spellEnd"/>
      <w:r w:rsidRPr="00660493">
        <w:rPr>
          <w:rFonts w:ascii="Times New Roman" w:eastAsia="Arial" w:hAnsi="Times New Roman" w:cs="Times New Roman"/>
          <w:color w:val="000000"/>
          <w:sz w:val="24"/>
          <w:szCs w:val="24"/>
        </w:rPr>
        <w:t xml:space="preserve">. </w:t>
      </w:r>
      <w:r w:rsidRPr="00660493">
        <w:rPr>
          <w:rFonts w:ascii="Times New Roman" w:eastAsia="Arial" w:hAnsi="Times New Roman" w:cs="Times New Roman"/>
          <w:i/>
          <w:color w:val="000000"/>
          <w:sz w:val="24"/>
          <w:szCs w:val="24"/>
        </w:rPr>
        <w:t>https://www.qdnd.vn</w:t>
      </w:r>
      <w:r w:rsidRPr="00660493">
        <w:rPr>
          <w:rFonts w:ascii="Times New Roman" w:eastAsia="Arial" w:hAnsi="Times New Roman" w:cs="Times New Roman"/>
          <w:color w:val="000000"/>
          <w:sz w:val="24"/>
          <w:szCs w:val="24"/>
        </w:rPr>
        <w:t>. https://www.qdnd.vn/kinh-te/tin-tuc/5-thang-dau-nam-2023-cpi-lam-phat-tang-nhe-729556</w:t>
      </w:r>
    </w:p>
    <w:p w14:paraId="1AF8BBA5" w14:textId="77777777" w:rsidR="0054545C" w:rsidRPr="00660493" w:rsidRDefault="00000000" w:rsidP="00EA0354">
      <w:pPr>
        <w:spacing w:after="240" w:line="360" w:lineRule="auto"/>
        <w:ind w:left="90" w:hanging="900"/>
        <w:rPr>
          <w:rFonts w:ascii="Times New Roman" w:eastAsia="Times New Roman" w:hAnsi="Times New Roman" w:cs="Times New Roman"/>
          <w:sz w:val="24"/>
          <w:szCs w:val="24"/>
        </w:rPr>
      </w:pPr>
      <w:r w:rsidRPr="00660493">
        <w:rPr>
          <w:rFonts w:ascii="Times New Roman" w:eastAsia="Arial" w:hAnsi="Times New Roman" w:cs="Times New Roman"/>
          <w:color w:val="000000"/>
          <w:sz w:val="24"/>
          <w:szCs w:val="24"/>
        </w:rPr>
        <w:t xml:space="preserve">Lestari, A. P., &amp; </w:t>
      </w:r>
      <w:proofErr w:type="spellStart"/>
      <w:r w:rsidRPr="00660493">
        <w:rPr>
          <w:rFonts w:ascii="Times New Roman" w:eastAsia="Arial" w:hAnsi="Times New Roman" w:cs="Times New Roman"/>
          <w:color w:val="000000"/>
          <w:sz w:val="24"/>
          <w:szCs w:val="24"/>
        </w:rPr>
        <w:t>Susetyo</w:t>
      </w:r>
      <w:proofErr w:type="spellEnd"/>
      <w:r w:rsidRPr="00660493">
        <w:rPr>
          <w:rFonts w:ascii="Times New Roman" w:eastAsia="Arial" w:hAnsi="Times New Roman" w:cs="Times New Roman"/>
          <w:color w:val="000000"/>
          <w:sz w:val="24"/>
          <w:szCs w:val="24"/>
        </w:rPr>
        <w:t xml:space="preserve">, A. (2020). The Influence of </w:t>
      </w:r>
      <w:proofErr w:type="gramStart"/>
      <w:r w:rsidRPr="00660493">
        <w:rPr>
          <w:rFonts w:ascii="Times New Roman" w:eastAsia="Arial" w:hAnsi="Times New Roman" w:cs="Times New Roman"/>
          <w:color w:val="000000"/>
          <w:sz w:val="24"/>
          <w:szCs w:val="24"/>
        </w:rPr>
        <w:t>NPM ,</w:t>
      </w:r>
      <w:proofErr w:type="gramEnd"/>
      <w:r w:rsidRPr="00660493">
        <w:rPr>
          <w:rFonts w:ascii="Times New Roman" w:eastAsia="Arial" w:hAnsi="Times New Roman" w:cs="Times New Roman"/>
          <w:color w:val="000000"/>
          <w:sz w:val="24"/>
          <w:szCs w:val="24"/>
        </w:rPr>
        <w:t xml:space="preserve"> </w:t>
      </w:r>
      <w:proofErr w:type="gramStart"/>
      <w:r w:rsidRPr="00660493">
        <w:rPr>
          <w:rFonts w:ascii="Times New Roman" w:eastAsia="Arial" w:hAnsi="Times New Roman" w:cs="Times New Roman"/>
          <w:color w:val="000000"/>
          <w:sz w:val="24"/>
          <w:szCs w:val="24"/>
        </w:rPr>
        <w:t>EPS ,</w:t>
      </w:r>
      <w:proofErr w:type="gramEnd"/>
      <w:r w:rsidRPr="00660493">
        <w:rPr>
          <w:rFonts w:ascii="Times New Roman" w:eastAsia="Arial" w:hAnsi="Times New Roman" w:cs="Times New Roman"/>
          <w:color w:val="000000"/>
          <w:sz w:val="24"/>
          <w:szCs w:val="24"/>
        </w:rPr>
        <w:t xml:space="preserve"> DER and PBV on Share Prices in IDX HIDIV20 Registered Companies with DPR as Intervening Variable. Scientific Journal of Management, Business and Accounting Students, 2(4), 184–196. Retrieved from https://ejournal.up45.ac.id/index.php/maksipreneur/article/view/810/641</w:t>
      </w:r>
    </w:p>
    <w:p w14:paraId="0F1BC3C8" w14:textId="64F5038E" w:rsidR="00EA0354" w:rsidRDefault="00000000" w:rsidP="00EA0354">
      <w:pPr>
        <w:spacing w:after="0" w:line="360" w:lineRule="auto"/>
        <w:ind w:hanging="720"/>
        <w:rPr>
          <w:rFonts w:ascii="Times New Roman" w:eastAsia="Times New Roman" w:hAnsi="Times New Roman" w:cs="Times New Roman"/>
          <w:sz w:val="24"/>
          <w:szCs w:val="24"/>
        </w:rPr>
      </w:pPr>
      <w:r w:rsidRPr="00660493">
        <w:rPr>
          <w:rFonts w:ascii="Times New Roman" w:eastAsia="Arial" w:hAnsi="Times New Roman" w:cs="Times New Roman"/>
          <w:color w:val="000000"/>
          <w:sz w:val="24"/>
          <w:szCs w:val="24"/>
        </w:rPr>
        <w:t xml:space="preserve">Thien Long Group. (2023). </w:t>
      </w:r>
      <w:r w:rsidRPr="00660493">
        <w:rPr>
          <w:rFonts w:ascii="Times New Roman" w:eastAsia="Arial" w:hAnsi="Times New Roman" w:cs="Times New Roman"/>
          <w:i/>
          <w:color w:val="000000"/>
          <w:sz w:val="24"/>
          <w:szCs w:val="24"/>
        </w:rPr>
        <w:t>Annual Report 2022</w:t>
      </w:r>
      <w:r w:rsidRPr="00660493">
        <w:rPr>
          <w:rFonts w:ascii="Times New Roman" w:eastAsia="Arial" w:hAnsi="Times New Roman" w:cs="Times New Roman"/>
          <w:color w:val="000000"/>
          <w:sz w:val="24"/>
          <w:szCs w:val="24"/>
        </w:rPr>
        <w:t xml:space="preserve">. </w:t>
      </w:r>
      <w:hyperlink r:id="rId23" w:history="1">
        <w:r w:rsidR="00EA0354" w:rsidRPr="004A7700">
          <w:rPr>
            <w:rStyle w:val="Hyperlink"/>
            <w:rFonts w:ascii="Times New Roman" w:eastAsia="Arial" w:hAnsi="Times New Roman" w:cs="Times New Roman"/>
            <w:sz w:val="24"/>
            <w:szCs w:val="24"/>
          </w:rPr>
          <w:t>https://thienlonggroup.com/storage/media/KHF1Cidt1WIoWugTwPKiR8UOJYq51Vo6pnMv39fF.pdf</w:t>
        </w:r>
      </w:hyperlink>
    </w:p>
    <w:p w14:paraId="5C3A0FA7" w14:textId="3280B7E6" w:rsidR="0054545C" w:rsidRPr="00EA0354" w:rsidRDefault="00000000" w:rsidP="00EA0354">
      <w:pPr>
        <w:spacing w:after="0" w:line="360" w:lineRule="auto"/>
        <w:ind w:hanging="720"/>
        <w:rPr>
          <w:rFonts w:ascii="Times New Roman" w:eastAsia="Times New Roman" w:hAnsi="Times New Roman" w:cs="Times New Roman"/>
          <w:sz w:val="24"/>
          <w:szCs w:val="24"/>
        </w:rPr>
      </w:pPr>
      <w:r w:rsidRPr="00660493">
        <w:rPr>
          <w:rFonts w:ascii="Times New Roman" w:eastAsia="Arial" w:hAnsi="Times New Roman" w:cs="Times New Roman"/>
          <w:color w:val="000000"/>
          <w:sz w:val="24"/>
          <w:szCs w:val="24"/>
        </w:rPr>
        <w:t>Tu, M. (2022). CEO Thiên Long: “</w:t>
      </w:r>
      <w:proofErr w:type="spellStart"/>
      <w:r w:rsidRPr="00660493">
        <w:rPr>
          <w:rFonts w:ascii="Times New Roman" w:eastAsia="Arial" w:hAnsi="Times New Roman" w:cs="Times New Roman"/>
          <w:color w:val="000000"/>
          <w:sz w:val="24"/>
          <w:szCs w:val="24"/>
        </w:rPr>
        <w:t>Trẻ</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hóa</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để</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giữ</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thế</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dẫn</w:t>
      </w:r>
      <w:proofErr w:type="spellEnd"/>
      <w:r w:rsidRPr="00660493">
        <w:rPr>
          <w:rFonts w:ascii="Times New Roman" w:eastAsia="Arial" w:hAnsi="Times New Roman" w:cs="Times New Roman"/>
          <w:color w:val="000000"/>
          <w:sz w:val="24"/>
          <w:szCs w:val="24"/>
        </w:rPr>
        <w:t xml:space="preserve"> </w:t>
      </w:r>
      <w:proofErr w:type="spellStart"/>
      <w:r w:rsidRPr="00660493">
        <w:rPr>
          <w:rFonts w:ascii="Times New Roman" w:eastAsia="Arial" w:hAnsi="Times New Roman" w:cs="Times New Roman"/>
          <w:color w:val="000000"/>
          <w:sz w:val="24"/>
          <w:szCs w:val="24"/>
        </w:rPr>
        <w:t>đầu</w:t>
      </w:r>
      <w:proofErr w:type="spellEnd"/>
      <w:r w:rsidRPr="00660493">
        <w:rPr>
          <w:rFonts w:ascii="Times New Roman" w:eastAsia="Arial" w:hAnsi="Times New Roman" w:cs="Times New Roman"/>
          <w:color w:val="000000"/>
          <w:sz w:val="24"/>
          <w:szCs w:val="24"/>
        </w:rPr>
        <w:t xml:space="preserve">.” </w:t>
      </w:r>
      <w:r w:rsidRPr="00660493">
        <w:rPr>
          <w:rFonts w:ascii="Times New Roman" w:eastAsia="Arial" w:hAnsi="Times New Roman" w:cs="Times New Roman"/>
          <w:i/>
          <w:color w:val="000000"/>
          <w:sz w:val="24"/>
          <w:szCs w:val="24"/>
        </w:rPr>
        <w:t>vnexpress.net</w:t>
      </w:r>
      <w:r w:rsidRPr="00660493">
        <w:rPr>
          <w:rFonts w:ascii="Times New Roman" w:eastAsia="Arial" w:hAnsi="Times New Roman" w:cs="Times New Roman"/>
          <w:color w:val="000000"/>
          <w:sz w:val="24"/>
          <w:szCs w:val="24"/>
        </w:rPr>
        <w:t xml:space="preserve">. </w:t>
      </w:r>
      <w:hyperlink r:id="rId24">
        <w:r w:rsidR="0054545C" w:rsidRPr="00660493">
          <w:rPr>
            <w:rFonts w:ascii="Times New Roman" w:eastAsia="Arial" w:hAnsi="Times New Roman" w:cs="Times New Roman"/>
            <w:color w:val="0563C1"/>
            <w:sz w:val="24"/>
            <w:szCs w:val="24"/>
            <w:u w:val="single"/>
          </w:rPr>
          <w:t>https://vnexpress.net/ceo-thien-long-tre-hoa-de-giu-the-dan-dau-4531514.html</w:t>
        </w:r>
      </w:hyperlink>
    </w:p>
    <w:p w14:paraId="3A775289" w14:textId="77777777" w:rsidR="0054545C" w:rsidRPr="00660493" w:rsidRDefault="00000000" w:rsidP="00EA0354">
      <w:pPr>
        <w:spacing w:line="360" w:lineRule="auto"/>
        <w:rPr>
          <w:rFonts w:ascii="Times New Roman" w:eastAsia="Arial" w:hAnsi="Times New Roman" w:cs="Times New Roman"/>
          <w:color w:val="000000"/>
          <w:sz w:val="24"/>
          <w:szCs w:val="24"/>
        </w:rPr>
      </w:pPr>
      <w:r w:rsidRPr="00660493">
        <w:rPr>
          <w:rFonts w:ascii="Times New Roman" w:hAnsi="Times New Roman" w:cs="Times New Roman"/>
          <w:sz w:val="24"/>
          <w:szCs w:val="24"/>
        </w:rPr>
        <w:br w:type="page"/>
      </w:r>
    </w:p>
    <w:p w14:paraId="0EA61595" w14:textId="77777777" w:rsidR="0054545C" w:rsidRDefault="00000000" w:rsidP="00EA0354">
      <w:pPr>
        <w:pStyle w:val="Heading1"/>
        <w:spacing w:before="0" w:line="360" w:lineRule="auto"/>
        <w:jc w:val="center"/>
        <w:rPr>
          <w:rFonts w:ascii="Times New Roman" w:hAnsi="Times New Roman" w:cs="Times New Roman"/>
          <w:sz w:val="24"/>
          <w:szCs w:val="24"/>
        </w:rPr>
      </w:pPr>
      <w:r w:rsidRPr="00660493">
        <w:rPr>
          <w:rFonts w:ascii="Times New Roman" w:hAnsi="Times New Roman" w:cs="Times New Roman"/>
          <w:sz w:val="24"/>
          <w:szCs w:val="24"/>
        </w:rPr>
        <w:lastRenderedPageBreak/>
        <w:t>Appendix</w:t>
      </w:r>
    </w:p>
    <w:p w14:paraId="5D33F84F" w14:textId="77777777" w:rsidR="00EA0354" w:rsidRPr="00EA0354" w:rsidRDefault="00EA0354" w:rsidP="00EA0354">
      <w:pPr>
        <w:spacing w:line="360" w:lineRule="auto"/>
      </w:pPr>
    </w:p>
    <w:p w14:paraId="1496B75E" w14:textId="77777777" w:rsidR="0054545C" w:rsidRPr="00660493" w:rsidRDefault="00000000" w:rsidP="00EA0354">
      <w:pPr>
        <w:pStyle w:val="Heading2"/>
        <w:numPr>
          <w:ilvl w:val="0"/>
          <w:numId w:val="17"/>
        </w:numPr>
        <w:spacing w:before="0" w:line="360" w:lineRule="auto"/>
        <w:rPr>
          <w:rFonts w:ascii="Times New Roman" w:hAnsi="Times New Roman" w:cs="Times New Roman"/>
          <w:sz w:val="24"/>
          <w:szCs w:val="24"/>
        </w:rPr>
      </w:pPr>
      <w:r w:rsidRPr="00660493">
        <w:rPr>
          <w:rFonts w:ascii="Times New Roman" w:hAnsi="Times New Roman" w:cs="Times New Roman"/>
          <w:sz w:val="24"/>
          <w:szCs w:val="24"/>
        </w:rPr>
        <w:t>Appendix 1:</w:t>
      </w:r>
    </w:p>
    <w:p w14:paraId="75055A80"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68E20481" wp14:editId="41D3C638">
            <wp:extent cx="5943600" cy="3571240"/>
            <wp:effectExtent l="0" t="0" r="0" b="0"/>
            <wp:docPr id="2131251277" name="image5.png" descr="A graph with red line and blue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graph with red line and blue line&#10;&#10;Description automatically generated"/>
                    <pic:cNvPicPr preferRelativeResize="0"/>
                  </pic:nvPicPr>
                  <pic:blipFill>
                    <a:blip r:embed="rId25"/>
                    <a:srcRect/>
                    <a:stretch>
                      <a:fillRect/>
                    </a:stretch>
                  </pic:blipFill>
                  <pic:spPr>
                    <a:xfrm>
                      <a:off x="0" y="0"/>
                      <a:ext cx="5943600" cy="3571240"/>
                    </a:xfrm>
                    <a:prstGeom prst="rect">
                      <a:avLst/>
                    </a:prstGeom>
                    <a:ln/>
                  </pic:spPr>
                </pic:pic>
              </a:graphicData>
            </a:graphic>
          </wp:inline>
        </w:drawing>
      </w:r>
    </w:p>
    <w:p w14:paraId="696DDA08"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746827C2" wp14:editId="5ACA4060">
            <wp:extent cx="5943600" cy="3583305"/>
            <wp:effectExtent l="0" t="0" r="0" b="0"/>
            <wp:docPr id="2131251278" name="image14.png" descr="A graph showing the cost of efficienc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4.png" descr="A graph showing the cost of efficiency&#10;&#10;Description automatically generated with medium confidence"/>
                    <pic:cNvPicPr preferRelativeResize="0"/>
                  </pic:nvPicPr>
                  <pic:blipFill>
                    <a:blip r:embed="rId26"/>
                    <a:srcRect/>
                    <a:stretch>
                      <a:fillRect/>
                    </a:stretch>
                  </pic:blipFill>
                  <pic:spPr>
                    <a:xfrm>
                      <a:off x="0" y="0"/>
                      <a:ext cx="5943600" cy="3583305"/>
                    </a:xfrm>
                    <a:prstGeom prst="rect">
                      <a:avLst/>
                    </a:prstGeom>
                    <a:ln/>
                  </pic:spPr>
                </pic:pic>
              </a:graphicData>
            </a:graphic>
          </wp:inline>
        </w:drawing>
      </w:r>
    </w:p>
    <w:p w14:paraId="365256B9"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color w:val="000000"/>
          <w:sz w:val="24"/>
          <w:szCs w:val="24"/>
        </w:rPr>
        <w:lastRenderedPageBreak/>
        <w:t>Proforma IS</w:t>
      </w:r>
      <w:r w:rsidRPr="00660493">
        <w:rPr>
          <w:rFonts w:ascii="Times New Roman" w:eastAsia="Arial" w:hAnsi="Times New Roman" w:cs="Times New Roman"/>
          <w:noProof/>
          <w:color w:val="000000"/>
          <w:sz w:val="24"/>
          <w:szCs w:val="24"/>
        </w:rPr>
        <w:drawing>
          <wp:inline distT="0" distB="0" distL="0" distR="0" wp14:anchorId="1C14894E" wp14:editId="5AE4346D">
            <wp:extent cx="5943600" cy="1411605"/>
            <wp:effectExtent l="0" t="0" r="0" b="0"/>
            <wp:docPr id="2131251279" name="image1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screenshot of a computer&#10;&#10;Description automatically generated"/>
                    <pic:cNvPicPr preferRelativeResize="0"/>
                  </pic:nvPicPr>
                  <pic:blipFill>
                    <a:blip r:embed="rId27"/>
                    <a:srcRect/>
                    <a:stretch>
                      <a:fillRect/>
                    </a:stretch>
                  </pic:blipFill>
                  <pic:spPr>
                    <a:xfrm>
                      <a:off x="0" y="0"/>
                      <a:ext cx="5943600" cy="1411605"/>
                    </a:xfrm>
                    <a:prstGeom prst="rect">
                      <a:avLst/>
                    </a:prstGeom>
                    <a:ln/>
                  </pic:spPr>
                </pic:pic>
              </a:graphicData>
            </a:graphic>
          </wp:inline>
        </w:drawing>
      </w:r>
    </w:p>
    <w:p w14:paraId="0FD5CDAD"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color w:val="000000"/>
          <w:sz w:val="24"/>
          <w:szCs w:val="24"/>
        </w:rPr>
        <w:t>Proforma BS (1)</w:t>
      </w:r>
    </w:p>
    <w:p w14:paraId="184030DB"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7FBC112F" wp14:editId="6CEC453D">
            <wp:extent cx="5943600" cy="1672590"/>
            <wp:effectExtent l="0" t="0" r="0" b="0"/>
            <wp:docPr id="2131251280" name="image1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screenshot of a computer&#10;&#10;Description automatically generated"/>
                    <pic:cNvPicPr preferRelativeResize="0"/>
                  </pic:nvPicPr>
                  <pic:blipFill>
                    <a:blip r:embed="rId28"/>
                    <a:srcRect/>
                    <a:stretch>
                      <a:fillRect/>
                    </a:stretch>
                  </pic:blipFill>
                  <pic:spPr>
                    <a:xfrm>
                      <a:off x="0" y="0"/>
                      <a:ext cx="5943600" cy="1672590"/>
                    </a:xfrm>
                    <a:prstGeom prst="rect">
                      <a:avLst/>
                    </a:prstGeom>
                    <a:ln/>
                  </pic:spPr>
                </pic:pic>
              </a:graphicData>
            </a:graphic>
          </wp:inline>
        </w:drawing>
      </w:r>
    </w:p>
    <w:p w14:paraId="719EEE37"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3F291718" wp14:editId="2667B6C8">
            <wp:extent cx="5943600" cy="1329055"/>
            <wp:effectExtent l="0" t="0" r="0" b="0"/>
            <wp:docPr id="2131251281" name="image22.png" descr="A close-up of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close-up of a screen&#10;&#10;Description automatically generated"/>
                    <pic:cNvPicPr preferRelativeResize="0"/>
                  </pic:nvPicPr>
                  <pic:blipFill>
                    <a:blip r:embed="rId29"/>
                    <a:srcRect/>
                    <a:stretch>
                      <a:fillRect/>
                    </a:stretch>
                  </pic:blipFill>
                  <pic:spPr>
                    <a:xfrm>
                      <a:off x="0" y="0"/>
                      <a:ext cx="5943600" cy="1329055"/>
                    </a:xfrm>
                    <a:prstGeom prst="rect">
                      <a:avLst/>
                    </a:prstGeom>
                    <a:ln/>
                  </pic:spPr>
                </pic:pic>
              </a:graphicData>
            </a:graphic>
          </wp:inline>
        </w:drawing>
      </w:r>
    </w:p>
    <w:p w14:paraId="792597B5"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color w:val="000000"/>
          <w:sz w:val="24"/>
          <w:szCs w:val="24"/>
        </w:rPr>
        <w:t>Proforma BS (2)</w:t>
      </w:r>
    </w:p>
    <w:p w14:paraId="3239F1F7"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noProof/>
          <w:color w:val="000000"/>
          <w:sz w:val="24"/>
          <w:szCs w:val="24"/>
        </w:rPr>
        <w:drawing>
          <wp:inline distT="0" distB="0" distL="0" distR="0" wp14:anchorId="73DBDFEF" wp14:editId="552AC663">
            <wp:extent cx="5943600" cy="1755775"/>
            <wp:effectExtent l="0" t="0" r="0" b="0"/>
            <wp:docPr id="2131251260" name="image7.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 screen&#10;&#10;Description automatically generated"/>
                    <pic:cNvPicPr preferRelativeResize="0"/>
                  </pic:nvPicPr>
                  <pic:blipFill>
                    <a:blip r:embed="rId30"/>
                    <a:srcRect/>
                    <a:stretch>
                      <a:fillRect/>
                    </a:stretch>
                  </pic:blipFill>
                  <pic:spPr>
                    <a:xfrm>
                      <a:off x="0" y="0"/>
                      <a:ext cx="5943600" cy="1755775"/>
                    </a:xfrm>
                    <a:prstGeom prst="rect">
                      <a:avLst/>
                    </a:prstGeom>
                    <a:ln/>
                  </pic:spPr>
                </pic:pic>
              </a:graphicData>
            </a:graphic>
          </wp:inline>
        </w:drawing>
      </w:r>
    </w:p>
    <w:p w14:paraId="74046A44" w14:textId="77777777" w:rsidR="0054545C" w:rsidRPr="00660493" w:rsidRDefault="00000000" w:rsidP="00EA03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60493">
        <w:rPr>
          <w:rFonts w:ascii="Times New Roman" w:eastAsia="Arial" w:hAnsi="Times New Roman" w:cs="Times New Roman"/>
          <w:color w:val="000000"/>
          <w:sz w:val="24"/>
          <w:szCs w:val="24"/>
        </w:rPr>
        <w:t>Proforma BS (3)</w:t>
      </w:r>
    </w:p>
    <w:p w14:paraId="686DB53A" w14:textId="77777777" w:rsidR="0054545C" w:rsidRPr="00660493" w:rsidRDefault="00000000" w:rsidP="00EA0354">
      <w:p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00660493">
        <w:rPr>
          <w:rFonts w:ascii="Times New Roman" w:eastAsia="Arial" w:hAnsi="Times New Roman" w:cs="Times New Roman"/>
          <w:noProof/>
          <w:color w:val="000000"/>
          <w:sz w:val="24"/>
          <w:szCs w:val="24"/>
        </w:rPr>
        <w:lastRenderedPageBreak/>
        <w:drawing>
          <wp:inline distT="0" distB="0" distL="0" distR="0" wp14:anchorId="6509B9D3" wp14:editId="412AC924">
            <wp:extent cx="5943600" cy="3001010"/>
            <wp:effectExtent l="0" t="0" r="0" b="0"/>
            <wp:docPr id="2131251261" name="image17.png" descr="A blue and white balance shee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blue and white balance sheet&#10;&#10;Description automatically generated"/>
                    <pic:cNvPicPr preferRelativeResize="0"/>
                  </pic:nvPicPr>
                  <pic:blipFill>
                    <a:blip r:embed="rId31"/>
                    <a:srcRect/>
                    <a:stretch>
                      <a:fillRect/>
                    </a:stretch>
                  </pic:blipFill>
                  <pic:spPr>
                    <a:xfrm>
                      <a:off x="0" y="0"/>
                      <a:ext cx="5943600" cy="3001010"/>
                    </a:xfrm>
                    <a:prstGeom prst="rect">
                      <a:avLst/>
                    </a:prstGeom>
                    <a:ln/>
                  </pic:spPr>
                </pic:pic>
              </a:graphicData>
            </a:graphic>
          </wp:inline>
        </w:drawing>
      </w:r>
    </w:p>
    <w:p w14:paraId="53CE5C18" w14:textId="77777777" w:rsidR="0054545C" w:rsidRPr="00660493" w:rsidRDefault="00000000" w:rsidP="00EA0354">
      <w:p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00660493">
        <w:rPr>
          <w:rFonts w:ascii="Times New Roman" w:eastAsia="Arial" w:hAnsi="Times New Roman" w:cs="Times New Roman"/>
          <w:i/>
          <w:color w:val="000000"/>
          <w:sz w:val="24"/>
          <w:szCs w:val="24"/>
        </w:rPr>
        <w:t>Figure 4.1 (Corporate Finance Institute, 2022)</w:t>
      </w:r>
    </w:p>
    <w:p w14:paraId="2EAFDF62" w14:textId="77777777" w:rsidR="0054545C" w:rsidRPr="00660493" w:rsidRDefault="0054545C" w:rsidP="00EA0354">
      <w:pPr>
        <w:spacing w:line="360" w:lineRule="auto"/>
        <w:jc w:val="both"/>
        <w:rPr>
          <w:rFonts w:ascii="Times New Roman" w:eastAsia="Arial" w:hAnsi="Times New Roman" w:cs="Times New Roman"/>
          <w:sz w:val="24"/>
          <w:szCs w:val="24"/>
        </w:rPr>
      </w:pPr>
    </w:p>
    <w:p w14:paraId="2C198433" w14:textId="77777777" w:rsidR="0054545C" w:rsidRPr="00660493" w:rsidRDefault="0054545C" w:rsidP="00EA0354">
      <w:pPr>
        <w:spacing w:line="360" w:lineRule="auto"/>
        <w:jc w:val="both"/>
        <w:rPr>
          <w:rFonts w:ascii="Times New Roman" w:eastAsia="Arial" w:hAnsi="Times New Roman" w:cs="Times New Roman"/>
          <w:sz w:val="24"/>
          <w:szCs w:val="24"/>
        </w:rPr>
      </w:pPr>
    </w:p>
    <w:sectPr w:rsidR="0054545C" w:rsidRPr="00660493">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7187F" w14:textId="77777777" w:rsidR="00330758" w:rsidRDefault="00330758">
      <w:pPr>
        <w:spacing w:after="0" w:line="240" w:lineRule="auto"/>
      </w:pPr>
      <w:r>
        <w:separator/>
      </w:r>
    </w:p>
  </w:endnote>
  <w:endnote w:type="continuationSeparator" w:id="0">
    <w:p w14:paraId="729B8DC5" w14:textId="77777777" w:rsidR="00330758" w:rsidRDefault="00330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658C9" w14:textId="77777777" w:rsidR="0054545C" w:rsidRDefault="005454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EC2E5" w14:textId="77777777" w:rsidR="00330758" w:rsidRDefault="00330758">
      <w:pPr>
        <w:spacing w:after="0" w:line="240" w:lineRule="auto"/>
      </w:pPr>
      <w:r>
        <w:separator/>
      </w:r>
    </w:p>
  </w:footnote>
  <w:footnote w:type="continuationSeparator" w:id="0">
    <w:p w14:paraId="6086202A" w14:textId="77777777" w:rsidR="00330758" w:rsidRDefault="00330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5DDC"/>
    <w:multiLevelType w:val="multilevel"/>
    <w:tmpl w:val="00FC093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EE55CF"/>
    <w:multiLevelType w:val="multilevel"/>
    <w:tmpl w:val="5ED485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AE7C12"/>
    <w:multiLevelType w:val="multilevel"/>
    <w:tmpl w:val="2EA8365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B45880"/>
    <w:multiLevelType w:val="multilevel"/>
    <w:tmpl w:val="00B8CB9A"/>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9C10B9"/>
    <w:multiLevelType w:val="multilevel"/>
    <w:tmpl w:val="9B9E86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69F6C56"/>
    <w:multiLevelType w:val="multilevel"/>
    <w:tmpl w:val="4F9228F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2501D6"/>
    <w:multiLevelType w:val="multilevel"/>
    <w:tmpl w:val="53FA197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D13838"/>
    <w:multiLevelType w:val="multilevel"/>
    <w:tmpl w:val="D0A879D4"/>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4FE259C"/>
    <w:multiLevelType w:val="multilevel"/>
    <w:tmpl w:val="0C6A81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CEC7886"/>
    <w:multiLevelType w:val="multilevel"/>
    <w:tmpl w:val="1240699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AE6FDD"/>
    <w:multiLevelType w:val="multilevel"/>
    <w:tmpl w:val="9FDAD5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3E0FB7"/>
    <w:multiLevelType w:val="multilevel"/>
    <w:tmpl w:val="0D6664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4C13189"/>
    <w:multiLevelType w:val="multilevel"/>
    <w:tmpl w:val="24123F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DD86851"/>
    <w:multiLevelType w:val="multilevel"/>
    <w:tmpl w:val="7A70AA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F255181"/>
    <w:multiLevelType w:val="multilevel"/>
    <w:tmpl w:val="1186B2D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F687273"/>
    <w:multiLevelType w:val="multilevel"/>
    <w:tmpl w:val="F92A5D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D42425"/>
    <w:multiLevelType w:val="multilevel"/>
    <w:tmpl w:val="A5C61AA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57E4EC0"/>
    <w:multiLevelType w:val="multilevel"/>
    <w:tmpl w:val="B1BC08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232467"/>
    <w:multiLevelType w:val="multilevel"/>
    <w:tmpl w:val="6E34330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4466CDE"/>
    <w:multiLevelType w:val="multilevel"/>
    <w:tmpl w:val="919A5B2E"/>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7C33D51"/>
    <w:multiLevelType w:val="multilevel"/>
    <w:tmpl w:val="23608A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CA35FDB"/>
    <w:multiLevelType w:val="multilevel"/>
    <w:tmpl w:val="2960AAC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7477728">
    <w:abstractNumId w:val="5"/>
  </w:num>
  <w:num w:numId="2" w16cid:durableId="1947539185">
    <w:abstractNumId w:val="13"/>
  </w:num>
  <w:num w:numId="3" w16cid:durableId="1019041475">
    <w:abstractNumId w:val="6"/>
  </w:num>
  <w:num w:numId="4" w16cid:durableId="1985310280">
    <w:abstractNumId w:val="11"/>
  </w:num>
  <w:num w:numId="5" w16cid:durableId="394013064">
    <w:abstractNumId w:val="9"/>
  </w:num>
  <w:num w:numId="6" w16cid:durableId="1786193073">
    <w:abstractNumId w:val="16"/>
  </w:num>
  <w:num w:numId="7" w16cid:durableId="1381901884">
    <w:abstractNumId w:val="2"/>
  </w:num>
  <w:num w:numId="8" w16cid:durableId="1047611541">
    <w:abstractNumId w:val="20"/>
  </w:num>
  <w:num w:numId="9" w16cid:durableId="1535927473">
    <w:abstractNumId w:val="15"/>
  </w:num>
  <w:num w:numId="10" w16cid:durableId="1066685360">
    <w:abstractNumId w:val="14"/>
  </w:num>
  <w:num w:numId="11" w16cid:durableId="1222903318">
    <w:abstractNumId w:val="7"/>
  </w:num>
  <w:num w:numId="12" w16cid:durableId="1255094320">
    <w:abstractNumId w:val="21"/>
  </w:num>
  <w:num w:numId="13" w16cid:durableId="1021784400">
    <w:abstractNumId w:val="19"/>
  </w:num>
  <w:num w:numId="14" w16cid:durableId="1632664467">
    <w:abstractNumId w:val="17"/>
  </w:num>
  <w:num w:numId="15" w16cid:durableId="1573466851">
    <w:abstractNumId w:val="8"/>
  </w:num>
  <w:num w:numId="16" w16cid:durableId="1362626429">
    <w:abstractNumId w:val="0"/>
  </w:num>
  <w:num w:numId="17" w16cid:durableId="1273825455">
    <w:abstractNumId w:val="1"/>
  </w:num>
  <w:num w:numId="18" w16cid:durableId="376584195">
    <w:abstractNumId w:val="12"/>
  </w:num>
  <w:num w:numId="19" w16cid:durableId="267590517">
    <w:abstractNumId w:val="10"/>
  </w:num>
  <w:num w:numId="20" w16cid:durableId="812722013">
    <w:abstractNumId w:val="18"/>
  </w:num>
  <w:num w:numId="21" w16cid:durableId="290481856">
    <w:abstractNumId w:val="4"/>
  </w:num>
  <w:num w:numId="22" w16cid:durableId="1542784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45C"/>
    <w:rsid w:val="001B7004"/>
    <w:rsid w:val="00330758"/>
    <w:rsid w:val="0054545C"/>
    <w:rsid w:val="006119B4"/>
    <w:rsid w:val="00660493"/>
    <w:rsid w:val="007A7E3D"/>
    <w:rsid w:val="00895CE5"/>
    <w:rsid w:val="0093650C"/>
    <w:rsid w:val="00A22622"/>
    <w:rsid w:val="00A42ADC"/>
    <w:rsid w:val="00CF2A08"/>
    <w:rsid w:val="00EA03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28EE"/>
  <w15:docId w15:val="{6AD2A80F-60DC-4BEA-A29F-5A6873B7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D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6D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6D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3F6D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F6D3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F6D38"/>
    <w:pPr>
      <w:ind w:left="720"/>
      <w:contextualSpacing/>
    </w:pPr>
  </w:style>
  <w:style w:type="character" w:customStyle="1" w:styleId="Heading3Char">
    <w:name w:val="Heading 3 Char"/>
    <w:basedOn w:val="DefaultParagraphFont"/>
    <w:link w:val="Heading3"/>
    <w:uiPriority w:val="9"/>
    <w:rsid w:val="003F6D3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F6D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C16D0"/>
    <w:rPr>
      <w:color w:val="0563C1" w:themeColor="hyperlink"/>
      <w:u w:val="single"/>
    </w:rPr>
  </w:style>
  <w:style w:type="character" w:styleId="UnresolvedMention">
    <w:name w:val="Unresolved Mention"/>
    <w:basedOn w:val="DefaultParagraphFont"/>
    <w:uiPriority w:val="99"/>
    <w:semiHidden/>
    <w:unhideWhenUsed/>
    <w:rsid w:val="00CC16D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vnexpress.net/ceo-thien-long-tre-hoa-de-giu-the-dan-dau-4531514.html"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hienlonggroup.com/storage/media/KHF1Cidt1WIoWugTwPKiR8UOJYq51Vo6pnMv39fF.pdf" TargetMode="Externa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V30n4W4XCcVXPcyg2+pXJVaTQ==">CgMxLjA4AHIhMXQ5T0FtRW9PaGpEUzhLdGNrVHpuRGZuZGwzWnZhcVpx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34</Pages>
  <Words>6651</Words>
  <Characters>37917</Characters>
  <Application>Microsoft Office Word</Application>
  <DocSecurity>0</DocSecurity>
  <Lines>315</Lines>
  <Paragraphs>88</Paragraphs>
  <ScaleCrop>false</ScaleCrop>
  <Company/>
  <LinksUpToDate>false</LinksUpToDate>
  <CharactersWithSpaces>44480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Chi Nhan Le</dc:creator>
  <cp:lastModifiedBy>Jessie Nguyen</cp:lastModifiedBy>
  <cp:revision>6</cp:revision>
  <dcterms:created xsi:type="dcterms:W3CDTF">2023-08-02T15:03:00Z</dcterms:created>
  <dcterms:modified xsi:type="dcterms:W3CDTF">2026-03-16T23:41:00Z</dcterms:modified>
</cp:coreProperties>
</file>