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3EE18" w14:textId="77777777" w:rsidR="00D874CB" w:rsidRDefault="00D75B94">
      <w:pPr>
        <w:spacing w:after="60"/>
      </w:pPr>
      <w:r>
        <w:rPr>
          <w:b/>
          <w:bCs/>
          <w:color w:val="3730A3"/>
          <w:sz w:val="40"/>
          <w:szCs w:val="40"/>
        </w:rPr>
        <w:t>Lumen Chart</w:t>
      </w:r>
    </w:p>
    <w:p w14:paraId="2771D1EE" w14:textId="77777777" w:rsidR="00D874CB" w:rsidRDefault="00D75B94">
      <w:pPr>
        <w:pBdr>
          <w:bottom w:val="single" w:sz="12" w:space="8" w:color="0F766E"/>
        </w:pBdr>
        <w:spacing w:after="260"/>
      </w:pPr>
      <w:r>
        <w:rPr>
          <w:b/>
          <w:bCs/>
          <w:color w:val="0F766E"/>
          <w:sz w:val="28"/>
          <w:szCs w:val="28"/>
        </w:rPr>
        <w:t>EHR Clinical Documentation Redesign</w:t>
      </w:r>
    </w:p>
    <w:p w14:paraId="548F6EAD" w14:textId="77777777" w:rsidR="00D874CB" w:rsidRDefault="00D75B94">
      <w:pPr>
        <w:pBdr>
          <w:bottom w:val="single" w:sz="6" w:space="4" w:color="3730A3"/>
        </w:pBdr>
        <w:spacing w:before="320" w:after="120"/>
      </w:pPr>
      <w:r>
        <w:rPr>
          <w:b/>
          <w:bCs/>
          <w:color w:val="3730A3"/>
          <w:sz w:val="30"/>
          <w:szCs w:val="30"/>
        </w:rPr>
        <w:t>Project Overview</w:t>
      </w:r>
    </w:p>
    <w:p w14:paraId="1D95CD2C" w14:textId="77777777" w:rsidR="00D874CB" w:rsidRDefault="00D75B94">
      <w:pPr>
        <w:spacing w:before="60" w:after="160" w:line="288" w:lineRule="auto"/>
      </w:pPr>
      <w:r>
        <w:rPr>
          <w:color w:val="1F2937"/>
          <w:sz w:val="24"/>
          <w:szCs w:val="24"/>
        </w:rPr>
        <w:t>Lumen Chart is a conceptual clinician-facing EHR redesign created for the Foster Healthcare UX class. This case study is grounded in real-world research, including heuristic evaluations, personas derived from clinical workflows, and competitive analysis. All research citations are included on the project page.</w:t>
      </w:r>
    </w:p>
    <w:p w14:paraId="16ECE129" w14:textId="77777777" w:rsidR="00D874CB" w:rsidRDefault="00D75B94">
      <w:pPr>
        <w:pBdr>
          <w:bottom w:val="single" w:sz="6" w:space="4" w:color="B45309"/>
        </w:pBdr>
        <w:spacing w:before="320" w:after="120"/>
      </w:pPr>
      <w:r>
        <w:rPr>
          <w:b/>
          <w:bCs/>
          <w:color w:val="B45309"/>
          <w:sz w:val="30"/>
          <w:szCs w:val="30"/>
        </w:rPr>
        <w:t>Challenge</w:t>
      </w:r>
    </w:p>
    <w:p w14:paraId="1886A303" w14:textId="77777777" w:rsidR="00D874CB" w:rsidRDefault="00D75B94">
      <w:pPr>
        <w:spacing w:before="60" w:after="160" w:line="288" w:lineRule="auto"/>
      </w:pPr>
      <w:r>
        <w:rPr>
          <w:color w:val="1F2937"/>
          <w:sz w:val="24"/>
          <w:szCs w:val="24"/>
        </w:rPr>
        <w:t xml:space="preserve">Clinicians spend </w:t>
      </w:r>
      <w:r>
        <w:rPr>
          <w:b/>
          <w:bCs/>
          <w:color w:val="B45309"/>
          <w:sz w:val="24"/>
          <w:szCs w:val="24"/>
        </w:rPr>
        <w:t>6–7 hours per day</w:t>
      </w:r>
      <w:r>
        <w:rPr>
          <w:color w:val="1F2937"/>
          <w:sz w:val="24"/>
          <w:szCs w:val="24"/>
        </w:rPr>
        <w:t xml:space="preserve"> in the EHR — more time charting than seeing patients. Existing systems suffer from alert fatigue, fragmented information, poor AI transparency, and high documentation burden, leading to burnout and safety risks.</w:t>
      </w:r>
    </w:p>
    <w:p w14:paraId="002857A7" w14:textId="77777777" w:rsidR="00D874CB" w:rsidRDefault="00D75B94">
      <w:pPr>
        <w:spacing w:after="160" w:line="288" w:lineRule="auto"/>
      </w:pPr>
      <w:r>
        <w:rPr>
          <w:i/>
          <w:iCs/>
          <w:color w:val="6B7280"/>
          <w:sz w:val="24"/>
          <w:szCs w:val="24"/>
        </w:rPr>
        <w:t>Research supporting these findings is available in the references section at the bottom of the case study.</w:t>
      </w:r>
    </w:p>
    <w:p w14:paraId="26B73F91" w14:textId="77777777" w:rsidR="00D874CB" w:rsidRDefault="00D75B94">
      <w:pPr>
        <w:pBdr>
          <w:bottom w:val="single" w:sz="6" w:space="4" w:color="0F766E"/>
        </w:pBdr>
        <w:spacing w:before="320" w:after="120"/>
      </w:pPr>
      <w:r>
        <w:rPr>
          <w:b/>
          <w:bCs/>
          <w:color w:val="0F766E"/>
          <w:sz w:val="30"/>
          <w:szCs w:val="30"/>
        </w:rPr>
        <w:t>Goals</w:t>
      </w:r>
    </w:p>
    <w:p w14:paraId="5F0E635C" w14:textId="77777777" w:rsidR="00D874CB" w:rsidRDefault="00D75B94">
      <w:pPr>
        <w:pStyle w:val="ListParagraph"/>
        <w:numPr>
          <w:ilvl w:val="0"/>
          <w:numId w:val="2"/>
        </w:numPr>
        <w:spacing w:before="40" w:after="100" w:line="276" w:lineRule="auto"/>
      </w:pPr>
      <w:r>
        <w:rPr>
          <w:color w:val="1F2937"/>
          <w:sz w:val="24"/>
          <w:szCs w:val="24"/>
        </w:rPr>
        <w:t>Reduce documentation time while maintaining safety and accuracy</w:t>
      </w:r>
    </w:p>
    <w:p w14:paraId="4606A5CD" w14:textId="77777777" w:rsidR="00D874CB" w:rsidRDefault="00D75B94">
      <w:pPr>
        <w:pStyle w:val="ListParagraph"/>
        <w:numPr>
          <w:ilvl w:val="0"/>
          <w:numId w:val="2"/>
        </w:numPr>
        <w:spacing w:before="40" w:after="100" w:line="276" w:lineRule="auto"/>
      </w:pPr>
      <w:r>
        <w:rPr>
          <w:color w:val="1F2937"/>
          <w:sz w:val="24"/>
          <w:szCs w:val="24"/>
        </w:rPr>
        <w:t>Improve AI transparency and clinician trust through clear provenance</w:t>
      </w:r>
    </w:p>
    <w:p w14:paraId="08137A19" w14:textId="77777777" w:rsidR="00D874CB" w:rsidRDefault="00D75B94">
      <w:pPr>
        <w:pStyle w:val="ListParagraph"/>
        <w:numPr>
          <w:ilvl w:val="0"/>
          <w:numId w:val="2"/>
        </w:numPr>
        <w:spacing w:before="40" w:after="100" w:line="276" w:lineRule="auto"/>
      </w:pPr>
      <w:r>
        <w:rPr>
          <w:color w:val="1F2937"/>
          <w:sz w:val="24"/>
          <w:szCs w:val="24"/>
        </w:rPr>
        <w:t>Support interrupted workflows with progressive disclosure and contextual tools</w:t>
      </w:r>
    </w:p>
    <w:p w14:paraId="6E3FD5A4" w14:textId="77777777" w:rsidR="00D874CB" w:rsidRDefault="00D75B94">
      <w:pPr>
        <w:pStyle w:val="ListParagraph"/>
        <w:numPr>
          <w:ilvl w:val="0"/>
          <w:numId w:val="2"/>
        </w:numPr>
        <w:spacing w:before="40" w:after="100" w:line="276" w:lineRule="auto"/>
      </w:pPr>
      <w:r>
        <w:rPr>
          <w:color w:val="1F2937"/>
          <w:sz w:val="24"/>
          <w:szCs w:val="24"/>
        </w:rPr>
        <w:t>Surface SDOH factors early without adding cognitive load</w:t>
      </w:r>
    </w:p>
    <w:p w14:paraId="21F3D623" w14:textId="77777777" w:rsidR="00D874CB" w:rsidRDefault="00D75B94">
      <w:pPr>
        <w:pBdr>
          <w:bottom w:val="single" w:sz="6" w:space="4" w:color="3730A3"/>
        </w:pBdr>
        <w:spacing w:before="320" w:after="120"/>
      </w:pPr>
      <w:r>
        <w:rPr>
          <w:b/>
          <w:bCs/>
          <w:color w:val="3730A3"/>
          <w:sz w:val="30"/>
          <w:szCs w:val="30"/>
        </w:rPr>
        <w:t>Research &amp; Insights</w:t>
      </w:r>
    </w:p>
    <w:p w14:paraId="226AC360" w14:textId="77777777" w:rsidR="00D874CB" w:rsidRDefault="00D75B94">
      <w:pPr>
        <w:spacing w:before="60" w:after="160" w:line="288" w:lineRule="auto"/>
      </w:pPr>
      <w:r>
        <w:rPr>
          <w:color w:val="1F2937"/>
          <w:sz w:val="24"/>
          <w:szCs w:val="24"/>
        </w:rPr>
        <w:t>Conducted heuristic evaluation (Nielsen + PAIR + HAX + NIST + WCAG), research-grounded personas, and competitive analysis of Epic, Cerner, and Athenahealth. Key findings: alert fatigue, fragmented documentation, and the need for deliberate AI review gates.</w:t>
      </w:r>
    </w:p>
    <w:p w14:paraId="74D5F85D" w14:textId="77777777" w:rsidR="00D874CB" w:rsidRDefault="00D75B94">
      <w:pPr>
        <w:pBdr>
          <w:bottom w:val="single" w:sz="6" w:space="4" w:color="1D4ED8"/>
        </w:pBdr>
        <w:spacing w:before="320" w:after="120"/>
      </w:pPr>
      <w:r>
        <w:rPr>
          <w:b/>
          <w:bCs/>
          <w:color w:val="1D4ED8"/>
          <w:sz w:val="30"/>
          <w:szCs w:val="30"/>
        </w:rPr>
        <w:t>Personas</w:t>
      </w:r>
    </w:p>
    <w:p w14:paraId="4FA5F45B" w14:textId="77777777" w:rsidR="00D874CB" w:rsidRDefault="00D75B94">
      <w:pPr>
        <w:pStyle w:val="ListParagraph"/>
        <w:numPr>
          <w:ilvl w:val="0"/>
          <w:numId w:val="2"/>
        </w:numPr>
        <w:spacing w:before="40" w:after="100" w:line="276" w:lineRule="auto"/>
      </w:pPr>
      <w:r>
        <w:rPr>
          <w:b/>
          <w:bCs/>
          <w:color w:val="0F766E"/>
          <w:sz w:val="24"/>
          <w:szCs w:val="24"/>
        </w:rPr>
        <w:t>Dr. Laura Mitchell</w:t>
      </w:r>
      <w:r>
        <w:rPr>
          <w:color w:val="1F2937"/>
          <w:sz w:val="24"/>
          <w:szCs w:val="24"/>
        </w:rPr>
        <w:t xml:space="preserve"> — Attending Physician (high skepticism of AI, alert fatigue)</w:t>
      </w:r>
    </w:p>
    <w:p w14:paraId="2C9C288B" w14:textId="77777777" w:rsidR="00D874CB" w:rsidRDefault="00D75B94">
      <w:pPr>
        <w:pStyle w:val="ListParagraph"/>
        <w:numPr>
          <w:ilvl w:val="0"/>
          <w:numId w:val="2"/>
        </w:numPr>
        <w:spacing w:before="40" w:after="100" w:line="276" w:lineRule="auto"/>
      </w:pPr>
      <w:r>
        <w:rPr>
          <w:b/>
          <w:bCs/>
          <w:color w:val="1D4ED8"/>
          <w:sz w:val="24"/>
          <w:szCs w:val="24"/>
        </w:rPr>
        <w:t>Kevin Hartley, RN</w:t>
      </w:r>
      <w:r>
        <w:rPr>
          <w:color w:val="1F2937"/>
          <w:sz w:val="24"/>
          <w:szCs w:val="24"/>
        </w:rPr>
        <w:t xml:space="preserve"> — Charge Nurse (bedside constraints, real-time handoff needs)</w:t>
      </w:r>
    </w:p>
    <w:p w14:paraId="7DCC1C08" w14:textId="77777777" w:rsidR="00D874CB" w:rsidRDefault="00D75B94">
      <w:pPr>
        <w:pStyle w:val="ListParagraph"/>
        <w:numPr>
          <w:ilvl w:val="0"/>
          <w:numId w:val="2"/>
        </w:numPr>
        <w:spacing w:before="40" w:after="100" w:line="276" w:lineRule="auto"/>
      </w:pPr>
      <w:r>
        <w:rPr>
          <w:b/>
          <w:bCs/>
          <w:color w:val="B45309"/>
          <w:sz w:val="24"/>
          <w:szCs w:val="24"/>
        </w:rPr>
        <w:t>Diane Santos</w:t>
      </w:r>
      <w:r>
        <w:rPr>
          <w:color w:val="1F2937"/>
          <w:sz w:val="24"/>
          <w:szCs w:val="24"/>
        </w:rPr>
        <w:t xml:space="preserve"> — Family Caregiver (plain-language needs, coordination across family)</w:t>
      </w:r>
    </w:p>
    <w:p w14:paraId="1A5C604F" w14:textId="77777777" w:rsidR="00D874CB" w:rsidRDefault="00D75B94">
      <w:pPr>
        <w:pBdr>
          <w:bottom w:val="single" w:sz="6" w:space="4" w:color="0F766E"/>
        </w:pBdr>
        <w:spacing w:before="320" w:after="120"/>
      </w:pPr>
      <w:r>
        <w:rPr>
          <w:b/>
          <w:bCs/>
          <w:color w:val="0F766E"/>
          <w:sz w:val="30"/>
          <w:szCs w:val="30"/>
        </w:rPr>
        <w:t>Key Design Decisions</w:t>
      </w:r>
    </w:p>
    <w:p w14:paraId="64E784D9" w14:textId="77777777" w:rsidR="00D874CB" w:rsidRDefault="00D75B94">
      <w:pPr>
        <w:pStyle w:val="ListParagraph"/>
        <w:numPr>
          <w:ilvl w:val="0"/>
          <w:numId w:val="2"/>
        </w:numPr>
        <w:spacing w:before="40" w:after="100" w:line="276" w:lineRule="auto"/>
      </w:pPr>
      <w:r>
        <w:rPr>
          <w:b/>
          <w:bCs/>
          <w:color w:val="0F766E"/>
          <w:sz w:val="24"/>
          <w:szCs w:val="24"/>
        </w:rPr>
        <w:t xml:space="preserve">Contextual Progressive Disclosure: </w:t>
      </w:r>
      <w:r>
        <w:rPr>
          <w:color w:val="1F2937"/>
          <w:sz w:val="24"/>
          <w:szCs w:val="24"/>
        </w:rPr>
        <w:t>Only the most relevant information is shown initially; additional details expand on demand</w:t>
      </w:r>
    </w:p>
    <w:p w14:paraId="20E063FB" w14:textId="77777777" w:rsidR="00D874CB" w:rsidRDefault="00D75B94">
      <w:pPr>
        <w:pStyle w:val="ListParagraph"/>
        <w:numPr>
          <w:ilvl w:val="0"/>
          <w:numId w:val="2"/>
        </w:numPr>
        <w:spacing w:before="40" w:after="100" w:line="276" w:lineRule="auto"/>
      </w:pPr>
      <w:r>
        <w:rPr>
          <w:b/>
          <w:bCs/>
          <w:color w:val="0F766E"/>
          <w:sz w:val="24"/>
          <w:szCs w:val="24"/>
        </w:rPr>
        <w:lastRenderedPageBreak/>
        <w:t xml:space="preserve">Amber AI Diff Highlighting: </w:t>
      </w:r>
      <w:r>
        <w:rPr>
          <w:color w:val="1F2937"/>
          <w:sz w:val="24"/>
          <w:szCs w:val="24"/>
        </w:rPr>
        <w:t>Clear visual distinction between AI-generated and verified chart content</w:t>
      </w:r>
    </w:p>
    <w:p w14:paraId="5B686448" w14:textId="77777777" w:rsidR="00D874CB" w:rsidRDefault="00D75B94">
      <w:pPr>
        <w:pStyle w:val="ListParagraph"/>
        <w:numPr>
          <w:ilvl w:val="0"/>
          <w:numId w:val="2"/>
        </w:numPr>
        <w:spacing w:before="40" w:after="100" w:line="276" w:lineRule="auto"/>
      </w:pPr>
      <w:r>
        <w:rPr>
          <w:b/>
          <w:bCs/>
          <w:color w:val="0F766E"/>
          <w:sz w:val="24"/>
          <w:szCs w:val="24"/>
        </w:rPr>
        <w:t xml:space="preserve">Per-Section Accept Gates + Two-Gate Signing: </w:t>
      </w:r>
      <w:r>
        <w:rPr>
          <w:color w:val="1F2937"/>
          <w:sz w:val="24"/>
          <w:szCs w:val="24"/>
        </w:rPr>
        <w:t>Forces deliberate review before permanent signing</w:t>
      </w:r>
    </w:p>
    <w:p w14:paraId="4EDBFEAA" w14:textId="77777777" w:rsidR="00D874CB" w:rsidRDefault="00D75B94">
      <w:pPr>
        <w:pStyle w:val="ListParagraph"/>
        <w:numPr>
          <w:ilvl w:val="0"/>
          <w:numId w:val="2"/>
        </w:numPr>
        <w:spacing w:before="40" w:after="100" w:line="276" w:lineRule="auto"/>
      </w:pPr>
      <w:r>
        <w:rPr>
          <w:b/>
          <w:bCs/>
          <w:color w:val="0F766E"/>
          <w:sz w:val="24"/>
          <w:szCs w:val="24"/>
        </w:rPr>
        <w:t xml:space="preserve">Alert Hierarchy: </w:t>
      </w:r>
      <w:r>
        <w:rPr>
          <w:color w:val="1F2937"/>
          <w:sz w:val="24"/>
          <w:szCs w:val="24"/>
        </w:rPr>
        <w:t>Critical alerts are visually distinct and actionable from the dashboard</w:t>
      </w:r>
    </w:p>
    <w:p w14:paraId="68C597CC" w14:textId="77777777" w:rsidR="00D874CB" w:rsidRDefault="00D75B94">
      <w:pPr>
        <w:pStyle w:val="ListParagraph"/>
        <w:numPr>
          <w:ilvl w:val="0"/>
          <w:numId w:val="2"/>
        </w:numPr>
        <w:spacing w:before="40" w:after="100" w:line="276" w:lineRule="auto"/>
      </w:pPr>
      <w:r>
        <w:rPr>
          <w:b/>
          <w:bCs/>
          <w:color w:val="0F766E"/>
          <w:sz w:val="24"/>
          <w:szCs w:val="24"/>
        </w:rPr>
        <w:t xml:space="preserve">SDOH Surfacing: </w:t>
      </w:r>
      <w:r>
        <w:rPr>
          <w:color w:val="1F2937"/>
          <w:sz w:val="24"/>
          <w:szCs w:val="24"/>
        </w:rPr>
        <w:t>Visible at queue and snapshot level with linked resources</w:t>
      </w:r>
    </w:p>
    <w:p w14:paraId="7F5D575B" w14:textId="77777777" w:rsidR="00D874CB" w:rsidRDefault="00D75B94">
      <w:pPr>
        <w:pBdr>
          <w:bottom w:val="single" w:sz="6" w:space="4" w:color="3730A3"/>
        </w:pBdr>
        <w:spacing w:before="320" w:after="120"/>
      </w:pPr>
      <w:r>
        <w:rPr>
          <w:b/>
          <w:bCs/>
          <w:color w:val="3730A3"/>
          <w:sz w:val="30"/>
          <w:szCs w:val="30"/>
        </w:rPr>
        <w:t>Solution</w:t>
      </w:r>
    </w:p>
    <w:p w14:paraId="3AED2DA1" w14:textId="77777777" w:rsidR="00D874CB" w:rsidRDefault="00D75B94">
      <w:pPr>
        <w:spacing w:before="60" w:after="160" w:line="288" w:lineRule="auto"/>
      </w:pPr>
      <w:r>
        <w:rPr>
          <w:color w:val="1F2937"/>
          <w:sz w:val="24"/>
          <w:szCs w:val="24"/>
        </w:rPr>
        <w:t>A high-fidelity interactive HTML prototype covering the full clinician workflow: smart daily dashboard, AI patient snapshot with SDOH panel, SOAP note editor with amber diffs and transcript toggle, and pre-sign confirmation with mandatory acknowledgments.</w:t>
      </w:r>
    </w:p>
    <w:p w14:paraId="37FC3ECC" w14:textId="77777777" w:rsidR="00D874CB" w:rsidRDefault="00D75B94">
      <w:pPr>
        <w:pBdr>
          <w:bottom w:val="single" w:sz="6" w:space="4" w:color="3730A3"/>
        </w:pBdr>
        <w:spacing w:before="320" w:after="120"/>
      </w:pPr>
      <w:r>
        <w:rPr>
          <w:b/>
          <w:bCs/>
          <w:color w:val="3730A3"/>
          <w:sz w:val="30"/>
          <w:szCs w:val="30"/>
        </w:rPr>
        <w:t>Interactive Prototype</w:t>
      </w:r>
    </w:p>
    <w:p w14:paraId="6301F29F" w14:textId="77777777" w:rsidR="00D874CB" w:rsidRDefault="00D75B94">
      <w:pPr>
        <w:spacing w:before="40" w:after="140"/>
      </w:pPr>
      <w:hyperlink r:id="rId7">
        <w:r>
          <w:rPr>
            <w:rStyle w:val="Hyperlink"/>
            <w:sz w:val="26"/>
            <w:szCs w:val="26"/>
            <w:u w:val="single"/>
            <w:color w:val="0563C1"/>
          </w:rPr>
          <w:t xml:space="preserve">Live Interactive Prototype →</w:t>
        </w:r>
      </w:hyperlink>
    </w:p>
    <w:p w14:paraId="5CC5A7C9" w14:textId="77777777" w:rsidR="00D874CB" w:rsidRDefault="00D75B94">
      <w:pPr>
        <w:spacing w:before="60" w:after="160" w:line="288" w:lineRule="auto"/>
      </w:pPr>
      <w:r>
        <w:rPr>
          <w:color w:val="1F2937"/>
          <w:sz w:val="24"/>
          <w:szCs w:val="24"/>
        </w:rPr>
        <w:t>A short interactive tutorial (based on user feedback) is included in the Quick Actions panel on the right to help visitors learn the key features and interactivity.</w:t>
      </w:r>
    </w:p>
    <w:p w14:paraId="25C2A4AF" w14:textId="77777777" w:rsidR="00D874CB" w:rsidRDefault="00D75B94">
      <w:pPr>
        <w:pBdr>
          <w:bottom w:val="single" w:sz="6" w:space="4" w:color="3730A3"/>
        </w:pBdr>
        <w:spacing w:before="320" w:after="120"/>
      </w:pPr>
      <w:r>
        <w:rPr>
          <w:b/>
          <w:bCs/>
          <w:color w:val="3730A3"/>
          <w:sz w:val="30"/>
          <w:szCs w:val="30"/>
        </w:rPr>
        <w:t>Outcomes &amp; Learnings</w:t>
      </w:r>
    </w:p>
    <w:p w14:paraId="37349F2C" w14:textId="77777777" w:rsidR="00D874CB" w:rsidRDefault="00D75B94">
      <w:pPr>
        <w:spacing w:before="60" w:after="160" w:line="288" w:lineRule="auto"/>
      </w:pPr>
      <w:r>
        <w:rPr>
          <w:color w:val="1F2937"/>
          <w:sz w:val="24"/>
          <w:szCs w:val="24"/>
        </w:rPr>
        <w:t xml:space="preserve">Heuristic evaluation identified </w:t>
      </w:r>
      <w:r>
        <w:rPr>
          <w:b/>
          <w:bCs/>
          <w:color w:val="0F766E"/>
          <w:sz w:val="24"/>
          <w:szCs w:val="24"/>
        </w:rPr>
        <w:t>no catastrophic issues</w:t>
      </w:r>
      <w:r>
        <w:rPr>
          <w:color w:val="1F2937"/>
          <w:sz w:val="24"/>
          <w:szCs w:val="24"/>
        </w:rPr>
        <w:t xml:space="preserve"> but revealed several usability concerns (e.g., </w:t>
      </w:r>
      <w:r>
        <w:rPr>
          <w:b/>
          <w:bCs/>
          <w:color w:val="B45309"/>
          <w:sz w:val="24"/>
          <w:szCs w:val="24"/>
        </w:rPr>
        <w:t>missing Unaccept controls, weak error recovery paths, and pre-sign gate vulnerabilities</w:t>
      </w:r>
      <w:r>
        <w:rPr>
          <w:color w:val="1F2937"/>
          <w:sz w:val="24"/>
          <w:szCs w:val="24"/>
        </w:rPr>
        <w:t>). These issues are documented on the project page along with targeted solutions implemented in the prototype.</w:t>
      </w:r>
    </w:p>
    <w:p w14:paraId="78CB2D67" w14:textId="77777777" w:rsidR="00D874CB" w:rsidRDefault="00D75B94">
      <w:pPr>
        <w:spacing w:before="60" w:after="160" w:line="288" w:lineRule="auto"/>
      </w:pPr>
      <w:r>
        <w:rPr>
          <w:color w:val="1F2937"/>
          <w:sz w:val="24"/>
          <w:szCs w:val="24"/>
        </w:rPr>
        <w:t xml:space="preserve">A separate moderated think-aloud session confirmed </w:t>
      </w:r>
      <w:r>
        <w:rPr>
          <w:b/>
          <w:bCs/>
          <w:color w:val="0F766E"/>
          <w:sz w:val="24"/>
          <w:szCs w:val="24"/>
        </w:rPr>
        <w:t>strong learnability</w:t>
      </w:r>
      <w:r>
        <w:rPr>
          <w:color w:val="1F2937"/>
          <w:sz w:val="24"/>
          <w:szCs w:val="24"/>
        </w:rPr>
        <w:t xml:space="preserve"> for core flows while surfacing distinct learnability gaps—</w:t>
      </w:r>
      <w:r>
        <w:rPr>
          <w:b/>
          <w:bCs/>
          <w:color w:val="B45309"/>
          <w:sz w:val="24"/>
          <w:szCs w:val="24"/>
        </w:rPr>
        <w:t>amber semantics, overlooked edit affordances, and first-use onboarding</w:t>
      </w:r>
      <w:r>
        <w:rPr>
          <w:color w:val="1F2937"/>
          <w:sz w:val="24"/>
          <w:szCs w:val="24"/>
        </w:rPr>
        <w:t>—that complemented heuristic findings on reversibility and recovery.</w:t>
      </w:r>
    </w:p>
    <w:p w14:paraId="2599C121" w14:textId="77777777" w:rsidR="00D874CB" w:rsidRDefault="00D75B94">
      <w:pPr>
        <w:spacing w:before="60" w:after="160" w:line="288" w:lineRule="auto"/>
      </w:pPr>
      <w:r>
        <w:rPr>
          <w:color w:val="1F2937"/>
          <w:sz w:val="24"/>
          <w:szCs w:val="24"/>
        </w:rPr>
        <w:t>The redesign demonstrates how progressive disclosure, provenance, and safety gates can meaningfully improve AI-assisted documentation in real clinical environments, though continued iteration is needed before production use.</w:t>
      </w:r>
    </w:p>
    <w:sectPr w:rsidR="00D874CB">
      <w:pgSz w:w="12240" w:h="15840"/>
      <w:pgMar w:top="1000" w:right="1440" w:bottom="10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4380E"/>
    <w:multiLevelType w:val="hybridMultilevel"/>
    <w:tmpl w:val="07D268D6"/>
    <w:lvl w:ilvl="0" w:tplc="79227EE2">
      <w:start w:val="1"/>
      <w:numFmt w:val="bullet"/>
      <w:lvlText w:val="●"/>
      <w:lvlJc w:val="left"/>
      <w:pPr>
        <w:ind w:left="720" w:hanging="360"/>
      </w:pPr>
    </w:lvl>
    <w:lvl w:ilvl="1" w:tplc="335A49FC">
      <w:start w:val="1"/>
      <w:numFmt w:val="bullet"/>
      <w:lvlText w:val="○"/>
      <w:lvlJc w:val="left"/>
      <w:pPr>
        <w:ind w:left="1440" w:hanging="360"/>
      </w:pPr>
    </w:lvl>
    <w:lvl w:ilvl="2" w:tplc="BB5653EE">
      <w:start w:val="1"/>
      <w:numFmt w:val="bullet"/>
      <w:lvlText w:val="■"/>
      <w:lvlJc w:val="left"/>
      <w:pPr>
        <w:ind w:left="2160" w:hanging="360"/>
      </w:pPr>
    </w:lvl>
    <w:lvl w:ilvl="3" w:tplc="54BAC968">
      <w:start w:val="1"/>
      <w:numFmt w:val="bullet"/>
      <w:lvlText w:val="●"/>
      <w:lvlJc w:val="left"/>
      <w:pPr>
        <w:ind w:left="2880" w:hanging="360"/>
      </w:pPr>
    </w:lvl>
    <w:lvl w:ilvl="4" w:tplc="3168EE0A">
      <w:start w:val="1"/>
      <w:numFmt w:val="bullet"/>
      <w:lvlText w:val="○"/>
      <w:lvlJc w:val="left"/>
      <w:pPr>
        <w:ind w:left="3600" w:hanging="360"/>
      </w:pPr>
    </w:lvl>
    <w:lvl w:ilvl="5" w:tplc="83F6D310">
      <w:start w:val="1"/>
      <w:numFmt w:val="bullet"/>
      <w:lvlText w:val="■"/>
      <w:lvlJc w:val="left"/>
      <w:pPr>
        <w:ind w:left="4320" w:hanging="360"/>
      </w:pPr>
    </w:lvl>
    <w:lvl w:ilvl="6" w:tplc="88B0393A">
      <w:start w:val="1"/>
      <w:numFmt w:val="bullet"/>
      <w:lvlText w:val="●"/>
      <w:lvlJc w:val="left"/>
      <w:pPr>
        <w:ind w:left="5040" w:hanging="360"/>
      </w:pPr>
    </w:lvl>
    <w:lvl w:ilvl="7" w:tplc="EC1EDE3A">
      <w:start w:val="1"/>
      <w:numFmt w:val="bullet"/>
      <w:lvlText w:val="●"/>
      <w:lvlJc w:val="left"/>
      <w:pPr>
        <w:ind w:left="5760" w:hanging="360"/>
      </w:pPr>
    </w:lvl>
    <w:lvl w:ilvl="8" w:tplc="FA262E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972682"/>
    <w:multiLevelType w:val="hybridMultilevel"/>
    <w:tmpl w:val="21202248"/>
    <w:lvl w:ilvl="0" w:tplc="99DC0A2C">
      <w:start w:val="1"/>
      <w:numFmt w:val="bullet"/>
      <w:lvlText w:val="•"/>
      <w:lvlJc w:val="left"/>
      <w:pPr>
        <w:ind w:left="504" w:hanging="259"/>
      </w:pPr>
      <w:rPr>
        <w:color w:val="3730A3"/>
      </w:rPr>
    </w:lvl>
    <w:lvl w:ilvl="1" w:tplc="74A456DA">
      <w:numFmt w:val="decimal"/>
      <w:lvlText w:val=""/>
      <w:lvlJc w:val="left"/>
    </w:lvl>
    <w:lvl w:ilvl="2" w:tplc="74F6647C">
      <w:numFmt w:val="decimal"/>
      <w:lvlText w:val=""/>
      <w:lvlJc w:val="left"/>
    </w:lvl>
    <w:lvl w:ilvl="3" w:tplc="66FE92A4">
      <w:numFmt w:val="decimal"/>
      <w:lvlText w:val=""/>
      <w:lvlJc w:val="left"/>
    </w:lvl>
    <w:lvl w:ilvl="4" w:tplc="008071CA">
      <w:numFmt w:val="decimal"/>
      <w:lvlText w:val=""/>
      <w:lvlJc w:val="left"/>
    </w:lvl>
    <w:lvl w:ilvl="5" w:tplc="BACE1A10">
      <w:numFmt w:val="decimal"/>
      <w:lvlText w:val=""/>
      <w:lvlJc w:val="left"/>
    </w:lvl>
    <w:lvl w:ilvl="6" w:tplc="5FE0842C">
      <w:numFmt w:val="decimal"/>
      <w:lvlText w:val=""/>
      <w:lvlJc w:val="left"/>
    </w:lvl>
    <w:lvl w:ilvl="7" w:tplc="FD62590E">
      <w:numFmt w:val="decimal"/>
      <w:lvlText w:val=""/>
      <w:lvlJc w:val="left"/>
    </w:lvl>
    <w:lvl w:ilvl="8" w:tplc="E32CA870">
      <w:numFmt w:val="decimal"/>
      <w:lvlText w:val=""/>
      <w:lvlJc w:val="left"/>
    </w:lvl>
  </w:abstractNum>
  <w:num w:numId="1" w16cid:durableId="1457676905">
    <w:abstractNumId w:val="0"/>
    <w:lvlOverride w:ilvl="0">
      <w:startOverride w:val="1"/>
    </w:lvlOverride>
  </w:num>
  <w:num w:numId="2" w16cid:durableId="18400031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4CB"/>
    <w:rsid w:val="00366E49"/>
    <w:rsid w:val="00CA1EDE"/>
    <w:rsid w:val="00D75B94"/>
    <w:rsid w:val="00D87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140CF"/>
  <w15:docId w15:val="{04E51961-3833-4982-9679-CD742FD26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yperlink" Target="https://lumen-clinician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499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Jessamyn Smallenburg</cp:lastModifiedBy>
  <cp:revision>2</cp:revision>
  <dcterms:created xsi:type="dcterms:W3CDTF">2026-08-13T12:33:00Z</dcterms:created>
  <dcterms:modified xsi:type="dcterms:W3CDTF">2026-08-13T12:33:00Z</dcterms:modified>
</cp:coreProperties>
</file>