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7AF74" w14:textId="77777777" w:rsidR="00A74E51" w:rsidRDefault="00913B08">
      <w:pPr>
        <w:spacing w:after="184"/>
      </w:pPr>
      <w:r>
        <w:rPr>
          <w:b/>
          <w:color w:val="3730A3"/>
          <w:sz w:val="40"/>
        </w:rPr>
        <w:t>HEURISTIC EVALUATION SUMMARY</w:t>
      </w:r>
    </w:p>
    <w:p w14:paraId="7FA2D75E" w14:textId="77777777" w:rsidR="00A74E51" w:rsidRDefault="00913B08">
      <w:pPr>
        <w:spacing w:after="115"/>
      </w:pPr>
      <w:r>
        <w:rPr>
          <w:b/>
          <w:color w:val="3730A3"/>
          <w:sz w:val="32"/>
        </w:rPr>
        <w:t>Lumen Chart — EHR Clinical Documentation Redesign</w:t>
      </w:r>
    </w:p>
    <w:p w14:paraId="252D365F" w14:textId="77777777" w:rsidR="00A74E51" w:rsidRPr="003B5854" w:rsidRDefault="00913B08">
      <w:pPr>
        <w:spacing w:after="46"/>
        <w:rPr>
          <w:sz w:val="26"/>
          <w:szCs w:val="26"/>
        </w:rPr>
      </w:pPr>
      <w:r>
        <w:rPr>
          <w:color w:val="6B7280"/>
          <w:sz w:val="26"/>
          <w:szCs w:val="26"/>
        </w:rPr>
        <w:t>Interactive Prototype (Clinician Flow)  ·  Expert Heuristic Review  ·  July 2026</w:t>
      </w:r>
    </w:p>
    <w:p w14:paraId="528BB2DA" w14:textId="77777777" w:rsidR="00A74E51" w:rsidRPr="003B5854" w:rsidRDefault="00913B08">
      <w:pPr>
        <w:spacing w:after="322"/>
        <w:rPr>
          <w:sz w:val="26"/>
          <w:szCs w:val="26"/>
        </w:rPr>
      </w:pPr>
      <w:r>
        <w:rPr>
          <w:color w:val="6B7280"/>
          <w:sz w:val="26"/>
          <w:szCs w:val="26"/>
        </w:rPr>
        <w:t>Jessie Smallenburg  ·  Portfolio / Class Deliverable  ·  Foster Healthcare UX</w:t>
      </w:r>
    </w:p>
    <w:p w14:paraId="545934F4" w14:textId="77777777" w:rsidR="00A74E51" w:rsidRDefault="00913B08">
      <w:pPr>
        <w:spacing w:before="184" w:after="138"/>
      </w:pPr>
      <w:r>
        <w:rPr>
          <w:b/>
          <w:color w:val="3730A3"/>
          <w:sz w:val="30"/>
        </w:rPr>
        <w:t>Method</w:t>
      </w:r>
    </w:p>
    <w:p w14:paraId="7D5153B9" w14:textId="77777777" w:rsidR="00A74E51" w:rsidRPr="003B5854" w:rsidRDefault="00913B08">
      <w:pPr>
        <w:spacing w:before="46" w:after="138"/>
        <w:rPr>
          <w:sz w:val="26"/>
          <w:szCs w:val="26"/>
        </w:rPr>
      </w:pPr>
      <w:r>
        <w:rPr>
          <w:sz w:val="26"/>
          <w:szCs w:val="26"/>
        </w:rPr>
        <w:t>Expert heuristic evaluation using Nielsen’s 10 Usability Heuristics (with 2020 refinements), Google PAIR Guidebook, Microsoft HAX Toolkit, WCAG 2.2 AA, NIST EHR usability guidance, and the project Evidence Wall design recommendations (D1–D5).</w:t>
      </w:r>
    </w:p>
    <w:p w14:paraId="3405CD4E" w14:textId="77777777" w:rsidR="00A74E51" w:rsidRPr="003B5854" w:rsidRDefault="00913B08">
      <w:pPr>
        <w:spacing w:after="276"/>
        <w:rPr>
          <w:sz w:val="26"/>
          <w:szCs w:val="26"/>
        </w:rPr>
      </w:pPr>
      <w:r>
        <w:rPr>
          <w:sz w:val="26"/>
          <w:szCs w:val="26"/>
        </w:rPr>
        <w:t>Scope: Dashboard → Snapshot → SOAP → Pre-sign  ·  Date: July 10, 2026</w:t>
      </w:r>
    </w:p>
    <w:p w14:paraId="5DA1EECB" w14:textId="77777777" w:rsidR="00A74E51" w:rsidRDefault="00913B08">
      <w:pPr>
        <w:spacing w:before="184" w:after="138"/>
      </w:pPr>
      <w:r>
        <w:rPr>
          <w:b/>
          <w:color w:val="3730A3"/>
          <w:sz w:val="30"/>
        </w:rPr>
        <w:t>1. Severity Summary</w:t>
      </w:r>
    </w:p>
    <w:p w14:paraId="2852CA33" w14:textId="77777777" w:rsidR="00A74E51" w:rsidRPr="003B5854" w:rsidRDefault="00913B08">
      <w:pPr>
        <w:spacing w:before="46" w:after="184"/>
        <w:rPr>
          <w:sz w:val="26"/>
          <w:szCs w:val="26"/>
        </w:rPr>
      </w:pPr>
      <w:r>
        <w:rPr>
          <w:sz w:val="26"/>
          <w:szCs w:val="26"/>
        </w:rPr>
        <w:t>Findings were rated using Nielsen’s 0–4 severity scale.</w:t>
      </w:r>
    </w:p>
    <w:tbl>
      <w:tblPr>
        <w:tblStyle w:val="TableGrid"/>
        <w:tblW w:w="0" w:type="auto"/>
        <w:jc w:val="center"/>
        <w:tblLook w:val="04A0" w:firstRow="1" w:lastRow="0" w:firstColumn="1" w:lastColumn="0" w:noHBand="0" w:noVBand="1"/>
      </w:tblPr>
      <w:tblGrid>
        <w:gridCol w:w="1865"/>
        <w:gridCol w:w="1866"/>
        <w:gridCol w:w="1866"/>
        <w:gridCol w:w="1866"/>
        <w:gridCol w:w="1869"/>
      </w:tblGrid>
      <w:tr w:rsidR="00A74E51" w:rsidRPr="003B5854" w14:paraId="005401E8" w14:textId="77777777" w:rsidTr="00F26EEB">
        <w:trPr>
          <w:jc w:val="center"/>
        </w:trPr>
        <w:tc>
          <w:tcPr>
            <w:tcW w:w="1872" w:type="dxa"/>
            <w:tcBorders>
              <w:top w:val="single" w:sz="4" w:space="0" w:color="E5E7EB"/>
              <w:left w:val="single" w:sz="18" w:space="0" w:color="0D9488"/>
              <w:bottom w:val="single" w:sz="4" w:space="0" w:color="E5E7EB"/>
              <w:right w:val="single" w:sz="4" w:space="0" w:color="E5E7EB"/>
            </w:tcBorders>
            <w:shd w:val="clear" w:color="auto" w:fill="EAF1DD" w:themeFill="accent3" w:themeFillTint="33"/>
          </w:tcPr>
          <w:p w14:paraId="0B23C1F3" w14:textId="77777777" w:rsidR="00A74E51" w:rsidRPr="003B5854" w:rsidRDefault="00913B08">
            <w:pPr>
              <w:spacing w:before="92" w:after="92"/>
              <w:rPr>
                <w:sz w:val="26"/>
                <w:szCs w:val="26"/>
              </w:rPr>
            </w:pPr>
            <w:r>
              <w:rPr>
                <w:b/>
                <w:color w:val="0F766E"/>
                <w:sz w:val="26"/>
                <w:szCs w:val="26"/>
              </w:rPr>
              <w:t>Severity 0</w:t>
            </w:r>
          </w:p>
        </w:tc>
        <w:tc>
          <w:tcPr>
            <w:tcW w:w="1872" w:type="dxa"/>
            <w:tcBorders>
              <w:top w:val="single" w:sz="4" w:space="0" w:color="E5E7EB"/>
              <w:left w:val="single" w:sz="18" w:space="0" w:color="6B7280"/>
              <w:bottom w:val="single" w:sz="4" w:space="0" w:color="E5E7EB"/>
              <w:right w:val="single" w:sz="4" w:space="0" w:color="E5E7EB"/>
            </w:tcBorders>
            <w:shd w:val="clear" w:color="auto" w:fill="F3F4F6"/>
          </w:tcPr>
          <w:p w14:paraId="75D43C53" w14:textId="77777777" w:rsidR="00A74E51" w:rsidRPr="003B5854" w:rsidRDefault="00913B08">
            <w:pPr>
              <w:spacing w:before="92" w:after="92"/>
              <w:rPr>
                <w:sz w:val="26"/>
                <w:szCs w:val="26"/>
              </w:rPr>
            </w:pPr>
            <w:r>
              <w:rPr>
                <w:b/>
                <w:color w:val="4B5563"/>
                <w:sz w:val="26"/>
                <w:szCs w:val="26"/>
              </w:rPr>
              <w:t>Severity 1</w:t>
            </w:r>
          </w:p>
        </w:tc>
        <w:tc>
          <w:tcPr>
            <w:tcW w:w="1872" w:type="dxa"/>
            <w:tcBorders>
              <w:top w:val="single" w:sz="4" w:space="0" w:color="E5E7EB"/>
              <w:left w:val="single" w:sz="18" w:space="0" w:color="2563EB"/>
              <w:bottom w:val="single" w:sz="4" w:space="0" w:color="E5E7EB"/>
              <w:right w:val="single" w:sz="4" w:space="0" w:color="E5E7EB"/>
            </w:tcBorders>
            <w:shd w:val="clear" w:color="auto" w:fill="DBEAFE"/>
          </w:tcPr>
          <w:p w14:paraId="6A1B2D11" w14:textId="77777777" w:rsidR="00A74E51" w:rsidRPr="003B5854" w:rsidRDefault="00913B08">
            <w:pPr>
              <w:spacing w:before="92" w:after="92"/>
              <w:rPr>
                <w:sz w:val="26"/>
                <w:szCs w:val="26"/>
              </w:rPr>
            </w:pPr>
            <w:r>
              <w:rPr>
                <w:b/>
                <w:color w:val="1D4ED8"/>
                <w:sz w:val="26"/>
                <w:szCs w:val="26"/>
              </w:rPr>
              <w:t>Severity 2</w:t>
            </w:r>
          </w:p>
        </w:tc>
        <w:tc>
          <w:tcPr>
            <w:tcW w:w="1872" w:type="dxa"/>
            <w:tcBorders>
              <w:top w:val="single" w:sz="4" w:space="0" w:color="E5E7EB"/>
              <w:left w:val="single" w:sz="18" w:space="0" w:color="D97706"/>
              <w:bottom w:val="single" w:sz="4" w:space="0" w:color="E5E7EB"/>
              <w:right w:val="single" w:sz="4" w:space="0" w:color="E5E7EB"/>
            </w:tcBorders>
            <w:shd w:val="clear" w:color="auto" w:fill="FEF3C7"/>
          </w:tcPr>
          <w:p w14:paraId="2F9CDB30" w14:textId="77777777" w:rsidR="00A74E51" w:rsidRPr="003B5854" w:rsidRDefault="00913B08">
            <w:pPr>
              <w:spacing w:before="92" w:after="92"/>
              <w:rPr>
                <w:sz w:val="26"/>
                <w:szCs w:val="26"/>
              </w:rPr>
            </w:pPr>
            <w:r>
              <w:rPr>
                <w:b/>
                <w:color w:val="B45309"/>
                <w:sz w:val="26"/>
                <w:szCs w:val="26"/>
              </w:rPr>
              <w:t>Severity 3</w:t>
            </w:r>
          </w:p>
        </w:tc>
        <w:tc>
          <w:tcPr>
            <w:tcW w:w="1872" w:type="dxa"/>
            <w:tcBorders>
              <w:top w:val="single" w:sz="4" w:space="0" w:color="E5E7EB"/>
              <w:left w:val="single" w:sz="18" w:space="0" w:color="DC2626"/>
              <w:bottom w:val="single" w:sz="4" w:space="0" w:color="E5E7EB"/>
              <w:right w:val="single" w:sz="4" w:space="0" w:color="E5E7EB"/>
            </w:tcBorders>
            <w:shd w:val="clear" w:color="auto" w:fill="FEE2E2"/>
          </w:tcPr>
          <w:p w14:paraId="2F919D80" w14:textId="77777777" w:rsidR="00A74E51" w:rsidRPr="003B5854" w:rsidRDefault="00913B08">
            <w:pPr>
              <w:spacing w:before="92" w:after="92"/>
              <w:rPr>
                <w:sz w:val="26"/>
                <w:szCs w:val="26"/>
              </w:rPr>
            </w:pPr>
            <w:r>
              <w:rPr>
                <w:b/>
                <w:color w:val="B91C1C"/>
                <w:sz w:val="26"/>
                <w:szCs w:val="26"/>
              </w:rPr>
              <w:t>Severity 4</w:t>
            </w:r>
          </w:p>
        </w:tc>
      </w:tr>
      <w:tr w:rsidR="00A74E51" w:rsidRPr="003B5854" w14:paraId="46DBF0DB" w14:textId="77777777" w:rsidTr="00F26EEB">
        <w:trPr>
          <w:jc w:val="center"/>
        </w:trPr>
        <w:tc>
          <w:tcPr>
            <w:tcW w:w="1872" w:type="dxa"/>
            <w:tcBorders>
              <w:top w:val="single" w:sz="4" w:space="0" w:color="E5E7EB"/>
              <w:left w:val="single" w:sz="18" w:space="0" w:color="0D9488"/>
              <w:bottom w:val="single" w:sz="4" w:space="0" w:color="E5E7EB"/>
              <w:right w:val="single" w:sz="4" w:space="0" w:color="E5E7EB"/>
            </w:tcBorders>
            <w:shd w:val="clear" w:color="auto" w:fill="EAF1DD" w:themeFill="accent3" w:themeFillTint="33"/>
          </w:tcPr>
          <w:p w14:paraId="31D9E2EB" w14:textId="77777777" w:rsidR="00A74E51" w:rsidRPr="003B5854" w:rsidRDefault="00913B08">
            <w:pPr>
              <w:spacing w:before="92" w:after="92"/>
              <w:rPr>
                <w:sz w:val="26"/>
                <w:szCs w:val="26"/>
              </w:rPr>
            </w:pPr>
            <w:r>
              <w:rPr>
                <w:color w:val="0F766E"/>
                <w:sz w:val="26"/>
                <w:szCs w:val="26"/>
              </w:rPr>
              <w:t>Positive</w:t>
            </w:r>
          </w:p>
        </w:tc>
        <w:tc>
          <w:tcPr>
            <w:tcW w:w="1872" w:type="dxa"/>
            <w:tcBorders>
              <w:top w:val="single" w:sz="4" w:space="0" w:color="E5E7EB"/>
              <w:left w:val="single" w:sz="18" w:space="0" w:color="6B7280"/>
              <w:bottom w:val="single" w:sz="4" w:space="0" w:color="E5E7EB"/>
              <w:right w:val="single" w:sz="4" w:space="0" w:color="E5E7EB"/>
            </w:tcBorders>
            <w:shd w:val="clear" w:color="auto" w:fill="F3F4F6"/>
          </w:tcPr>
          <w:p w14:paraId="0EE32FB6" w14:textId="77777777" w:rsidR="00A74E51" w:rsidRPr="003B5854" w:rsidRDefault="00913B08">
            <w:pPr>
              <w:spacing w:before="92" w:after="92"/>
              <w:rPr>
                <w:sz w:val="26"/>
                <w:szCs w:val="26"/>
              </w:rPr>
            </w:pPr>
            <w:r>
              <w:rPr>
                <w:color w:val="4B5563"/>
                <w:sz w:val="26"/>
                <w:szCs w:val="26"/>
              </w:rPr>
              <w:t>Cosmetic</w:t>
            </w:r>
          </w:p>
        </w:tc>
        <w:tc>
          <w:tcPr>
            <w:tcW w:w="1872" w:type="dxa"/>
            <w:tcBorders>
              <w:top w:val="single" w:sz="4" w:space="0" w:color="E5E7EB"/>
              <w:left w:val="single" w:sz="18" w:space="0" w:color="2563EB"/>
              <w:bottom w:val="single" w:sz="4" w:space="0" w:color="E5E7EB"/>
              <w:right w:val="single" w:sz="4" w:space="0" w:color="E5E7EB"/>
            </w:tcBorders>
            <w:shd w:val="clear" w:color="auto" w:fill="DBEAFE"/>
          </w:tcPr>
          <w:p w14:paraId="3CAA0EEB" w14:textId="77777777" w:rsidR="00A74E51" w:rsidRPr="003B5854" w:rsidRDefault="00913B08">
            <w:pPr>
              <w:spacing w:before="92" w:after="92"/>
              <w:rPr>
                <w:sz w:val="26"/>
                <w:szCs w:val="26"/>
              </w:rPr>
            </w:pPr>
            <w:r>
              <w:rPr>
                <w:color w:val="1D4ED8"/>
                <w:sz w:val="26"/>
                <w:szCs w:val="26"/>
              </w:rPr>
              <w:t>Minor</w:t>
            </w:r>
          </w:p>
        </w:tc>
        <w:tc>
          <w:tcPr>
            <w:tcW w:w="1872" w:type="dxa"/>
            <w:tcBorders>
              <w:top w:val="single" w:sz="4" w:space="0" w:color="E5E7EB"/>
              <w:left w:val="single" w:sz="18" w:space="0" w:color="D97706"/>
              <w:bottom w:val="single" w:sz="4" w:space="0" w:color="E5E7EB"/>
              <w:right w:val="single" w:sz="4" w:space="0" w:color="E5E7EB"/>
            </w:tcBorders>
            <w:shd w:val="clear" w:color="auto" w:fill="FEF3C7"/>
          </w:tcPr>
          <w:p w14:paraId="630B10E1" w14:textId="77777777" w:rsidR="00A74E51" w:rsidRPr="003B5854" w:rsidRDefault="00913B08">
            <w:pPr>
              <w:spacing w:before="92" w:after="92"/>
              <w:rPr>
                <w:sz w:val="26"/>
                <w:szCs w:val="26"/>
              </w:rPr>
            </w:pPr>
            <w:r>
              <w:rPr>
                <w:color w:val="B45309"/>
                <w:sz w:val="26"/>
                <w:szCs w:val="26"/>
              </w:rPr>
              <w:t>Major</w:t>
            </w:r>
          </w:p>
        </w:tc>
        <w:tc>
          <w:tcPr>
            <w:tcW w:w="1872" w:type="dxa"/>
            <w:tcBorders>
              <w:top w:val="single" w:sz="4" w:space="0" w:color="E5E7EB"/>
              <w:left w:val="single" w:sz="18" w:space="0" w:color="DC2626"/>
              <w:bottom w:val="single" w:sz="4" w:space="0" w:color="E5E7EB"/>
              <w:right w:val="single" w:sz="4" w:space="0" w:color="E5E7EB"/>
            </w:tcBorders>
            <w:shd w:val="clear" w:color="auto" w:fill="FEE2E2"/>
          </w:tcPr>
          <w:p w14:paraId="3A937AD4" w14:textId="77777777" w:rsidR="00A74E51" w:rsidRPr="003B5854" w:rsidRDefault="00913B08">
            <w:pPr>
              <w:spacing w:before="92" w:after="92"/>
              <w:rPr>
                <w:sz w:val="26"/>
                <w:szCs w:val="26"/>
              </w:rPr>
            </w:pPr>
            <w:r>
              <w:rPr>
                <w:color w:val="B91C1C"/>
                <w:sz w:val="26"/>
                <w:szCs w:val="26"/>
              </w:rPr>
              <w:t>Catastrophe</w:t>
            </w:r>
          </w:p>
        </w:tc>
      </w:tr>
      <w:tr w:rsidR="00A74E51" w:rsidRPr="003B5854" w14:paraId="7412CDD5" w14:textId="77777777">
        <w:trPr>
          <w:jc w:val="center"/>
        </w:trPr>
        <w:tc>
          <w:tcPr>
            <w:tcW w:w="1872" w:type="dxa"/>
          </w:tcPr>
          <w:p w14:paraId="7EB3D33A" w14:textId="77777777" w:rsidR="00A74E51" w:rsidRPr="003B5854" w:rsidRDefault="00913B08">
            <w:pPr>
              <w:spacing w:before="92" w:after="92"/>
              <w:rPr>
                <w:sz w:val="26"/>
                <w:szCs w:val="26"/>
              </w:rPr>
            </w:pPr>
            <w:r>
              <w:rPr>
                <w:color w:val="0B1626"/>
                <w:sz w:val="26"/>
                <w:szCs w:val="26"/>
              </w:rPr>
              <w:t>14 findings</w:t>
            </w:r>
          </w:p>
        </w:tc>
        <w:tc>
          <w:tcPr>
            <w:tcW w:w="1872" w:type="dxa"/>
          </w:tcPr>
          <w:p w14:paraId="53BB57D2" w14:textId="77777777" w:rsidR="00A74E51" w:rsidRPr="003B5854" w:rsidRDefault="00913B08">
            <w:pPr>
              <w:spacing w:before="92" w:after="92"/>
              <w:rPr>
                <w:sz w:val="26"/>
                <w:szCs w:val="26"/>
              </w:rPr>
            </w:pPr>
            <w:r>
              <w:rPr>
                <w:color w:val="0B1626"/>
                <w:sz w:val="26"/>
                <w:szCs w:val="26"/>
              </w:rPr>
              <w:t>3 findings</w:t>
            </w:r>
          </w:p>
        </w:tc>
        <w:tc>
          <w:tcPr>
            <w:tcW w:w="1872" w:type="dxa"/>
          </w:tcPr>
          <w:p w14:paraId="552507F4" w14:textId="77777777" w:rsidR="00A74E51" w:rsidRPr="003B5854" w:rsidRDefault="00913B08">
            <w:pPr>
              <w:spacing w:before="92" w:after="92"/>
              <w:rPr>
                <w:sz w:val="26"/>
                <w:szCs w:val="26"/>
              </w:rPr>
            </w:pPr>
            <w:r>
              <w:rPr>
                <w:color w:val="0B1626"/>
                <w:sz w:val="26"/>
                <w:szCs w:val="26"/>
              </w:rPr>
              <w:t>7 findings</w:t>
            </w:r>
          </w:p>
        </w:tc>
        <w:tc>
          <w:tcPr>
            <w:tcW w:w="1872" w:type="dxa"/>
          </w:tcPr>
          <w:p w14:paraId="08AEEE5D" w14:textId="77777777" w:rsidR="00A74E51" w:rsidRPr="003B5854" w:rsidRDefault="00913B08">
            <w:pPr>
              <w:spacing w:before="92" w:after="92"/>
              <w:rPr>
                <w:sz w:val="26"/>
                <w:szCs w:val="26"/>
              </w:rPr>
            </w:pPr>
            <w:r>
              <w:rPr>
                <w:color w:val="0B1626"/>
                <w:sz w:val="26"/>
                <w:szCs w:val="26"/>
              </w:rPr>
              <w:t>4 findings</w:t>
            </w:r>
          </w:p>
        </w:tc>
        <w:tc>
          <w:tcPr>
            <w:tcW w:w="1872" w:type="dxa"/>
          </w:tcPr>
          <w:p w14:paraId="39FB2DA4" w14:textId="77777777" w:rsidR="00A74E51" w:rsidRPr="003B5854" w:rsidRDefault="00913B08">
            <w:pPr>
              <w:spacing w:before="92" w:after="92"/>
              <w:rPr>
                <w:sz w:val="26"/>
                <w:szCs w:val="26"/>
              </w:rPr>
            </w:pPr>
            <w:r>
              <w:rPr>
                <w:color w:val="0B1626"/>
                <w:sz w:val="26"/>
                <w:szCs w:val="26"/>
              </w:rPr>
              <w:t>0 findings</w:t>
            </w:r>
          </w:p>
        </w:tc>
      </w:tr>
    </w:tbl>
    <w:p w14:paraId="106F5BBE" w14:textId="77777777" w:rsidR="00A74E51" w:rsidRPr="003B5854" w:rsidRDefault="00913B08">
      <w:pPr>
        <w:spacing w:before="276" w:after="184"/>
        <w:rPr>
          <w:sz w:val="26"/>
          <w:szCs w:val="26"/>
        </w:rPr>
      </w:pPr>
      <w:r>
        <w:rPr>
          <w:sz w:val="26"/>
          <w:szCs w:val="26"/>
        </w:rPr>
        <w:t>No catastrophic (Severity 4) issues were found. The prototype is safe for pilot testing with clinicians. Fourteen Severity 0 (positive) findings were identified; the five strongest are highlighted below.</w:t>
      </w:r>
    </w:p>
    <w:p w14:paraId="1B1F4924" w14:textId="77777777" w:rsidR="00A74E51" w:rsidRDefault="00913B08">
      <w:pPr>
        <w:spacing w:before="368" w:after="138"/>
      </w:pPr>
      <w:r>
        <w:rPr>
          <w:b/>
          <w:color w:val="3730A3"/>
          <w:sz w:val="30"/>
        </w:rPr>
        <w:t>2. Top Positive Findings (Severity 0)</w:t>
      </w:r>
    </w:p>
    <w:p w14:paraId="1A4597A3" w14:textId="77777777" w:rsidR="00A74E51" w:rsidRPr="003B5854" w:rsidRDefault="00913B08">
      <w:pPr>
        <w:spacing w:before="46" w:after="92"/>
        <w:rPr>
          <w:sz w:val="26"/>
          <w:szCs w:val="26"/>
        </w:rPr>
      </w:pPr>
      <w:r>
        <w:rPr>
          <w:sz w:val="26"/>
          <w:szCs w:val="26"/>
        </w:rPr>
        <w:t>These five are the strongest examples of design decisions that directly address research insights and clinical workflow needs.</w:t>
      </w:r>
    </w:p>
    <w:p w14:paraId="61F8CC07" w14:textId="77777777" w:rsidR="00F26EEB" w:rsidRPr="003B5854" w:rsidRDefault="00913B08" w:rsidP="00F26EEB">
      <w:pPr>
        <w:pStyle w:val="ListParagraph"/>
        <w:numPr>
          <w:ilvl w:val="0"/>
          <w:numId w:val="10"/>
        </w:numPr>
        <w:spacing w:before="46" w:after="92"/>
        <w:rPr>
          <w:sz w:val="28"/>
          <w:szCs w:val="28"/>
        </w:rPr>
      </w:pPr>
      <w:r>
        <w:rPr>
          <w:b/>
          <w:color w:val="0F766E"/>
          <w:sz w:val="28"/>
          <w:szCs w:val="28"/>
        </w:rPr>
        <w:t>AI transparency &amp; trust calibration</w:t>
      </w:r>
    </w:p>
    <w:p w14:paraId="089460BB" w14:textId="77777777" w:rsidR="00F26EEB" w:rsidRPr="003B5854" w:rsidRDefault="00913B08" w:rsidP="003B5854">
      <w:pPr>
        <w:spacing w:after="0" w:line="269" w:lineRule="auto"/>
        <w:ind w:left="720"/>
        <w:rPr>
          <w:sz w:val="26"/>
          <w:szCs w:val="26"/>
        </w:rPr>
      </w:pPr>
      <w:r>
        <w:rPr>
          <w:b/>
          <w:sz w:val="26"/>
          <w:szCs w:val="26"/>
        </w:rPr>
        <w:t>Amber AI provenance + per-section Accept gates + two-gate signing</w:t>
      </w:r>
    </w:p>
    <w:p w14:paraId="3C1D7F81" w14:textId="07D81B1A" w:rsidR="00A74E51" w:rsidRPr="003B5854" w:rsidRDefault="00913B08" w:rsidP="00F26EEB">
      <w:pPr>
        <w:spacing w:after="0" w:line="269" w:lineRule="auto"/>
        <w:ind w:left="720"/>
        <w:rPr>
          <w:sz w:val="26"/>
          <w:szCs w:val="26"/>
        </w:rPr>
      </w:pPr>
      <w:r>
        <w:rPr>
          <w:sz w:val="26"/>
          <w:szCs w:val="26"/>
        </w:rPr>
        <w:t>Exemplary implementation of AI transparency that makes AI-generated content visually distinct, requires per-section clinician verification, and gates final sign-off. Directly addresses Evidence Wall recommendations D1–D5 on provenance, verification, and liability-aware review.</w:t>
      </w:r>
    </w:p>
    <w:p w14:paraId="6D298FBE" w14:textId="6E7C56F2" w:rsidR="00F26EEB" w:rsidRPr="003B5854" w:rsidRDefault="00913B08" w:rsidP="00F26EEB">
      <w:pPr>
        <w:pStyle w:val="ListParagraph"/>
        <w:numPr>
          <w:ilvl w:val="0"/>
          <w:numId w:val="10"/>
        </w:numPr>
        <w:spacing w:after="92" w:line="269" w:lineRule="auto"/>
        <w:rPr>
          <w:sz w:val="28"/>
          <w:szCs w:val="28"/>
        </w:rPr>
      </w:pPr>
      <w:r>
        <w:rPr>
          <w:b/>
          <w:color w:val="0F766E"/>
          <w:sz w:val="28"/>
          <w:szCs w:val="28"/>
        </w:rPr>
        <w:t>Alert hierarchy at the point of care</w:t>
      </w:r>
    </w:p>
    <w:p w14:paraId="4C574269" w14:textId="77777777" w:rsidR="00F26EEB" w:rsidRPr="003B5854" w:rsidRDefault="00913B08" w:rsidP="00F26EEB">
      <w:pPr>
        <w:pStyle w:val="ListParagraph"/>
        <w:spacing w:before="322" w:after="92" w:line="269" w:lineRule="auto"/>
        <w:rPr>
          <w:b/>
          <w:sz w:val="26"/>
          <w:szCs w:val="26"/>
        </w:rPr>
      </w:pPr>
      <w:r>
        <w:rPr>
          <w:b/>
          <w:sz w:val="26"/>
          <w:szCs w:val="26"/>
        </w:rPr>
        <w:t>Queue-level critical alert surfacing with clear visual severity</w:t>
      </w:r>
    </w:p>
    <w:p w14:paraId="22EB15BC" w14:textId="0FA1FB08" w:rsidR="00F26EEB" w:rsidRPr="003B5854" w:rsidRDefault="00913B08" w:rsidP="00F26EEB">
      <w:pPr>
        <w:pStyle w:val="ListParagraph"/>
        <w:spacing w:after="0" w:line="269" w:lineRule="auto"/>
        <w:contextualSpacing w:val="0"/>
        <w:rPr>
          <w:sz w:val="26"/>
          <w:szCs w:val="26"/>
        </w:rPr>
      </w:pPr>
      <w:r>
        <w:rPr>
          <w:sz w:val="26"/>
          <w:szCs w:val="26"/>
        </w:rPr>
        <w:lastRenderedPageBreak/>
        <w:t>Strong visual hierarchy for critical alerts reduces classic alert-fatigue risk by surfacing high-severity flags at the queue/row level rather than burying them inside the chart.</w:t>
      </w:r>
    </w:p>
    <w:p w14:paraId="2F8CC896" w14:textId="1D5168F5" w:rsidR="00F26EEB" w:rsidRPr="003B5854" w:rsidRDefault="00913B08" w:rsidP="00F26EEB">
      <w:pPr>
        <w:pStyle w:val="ListParagraph"/>
        <w:numPr>
          <w:ilvl w:val="0"/>
          <w:numId w:val="10"/>
        </w:numPr>
        <w:spacing w:before="1104" w:after="92" w:line="269" w:lineRule="auto"/>
        <w:rPr>
          <w:sz w:val="28"/>
          <w:szCs w:val="28"/>
        </w:rPr>
      </w:pPr>
      <w:r>
        <w:rPr>
          <w:b/>
          <w:color w:val="0F766E"/>
          <w:sz w:val="28"/>
          <w:szCs w:val="28"/>
        </w:rPr>
        <w:t>Match between system and the real world</w:t>
      </w:r>
    </w:p>
    <w:p w14:paraId="796A1268" w14:textId="77777777" w:rsidR="00F26EEB" w:rsidRPr="003B5854" w:rsidRDefault="00913B08" w:rsidP="00F26EEB">
      <w:pPr>
        <w:pStyle w:val="ListParagraph"/>
        <w:spacing w:before="322" w:after="92" w:line="269" w:lineRule="auto"/>
        <w:rPr>
          <w:b/>
          <w:sz w:val="26"/>
          <w:szCs w:val="26"/>
        </w:rPr>
      </w:pPr>
      <w:r>
        <w:rPr>
          <w:b/>
          <w:sz w:val="26"/>
          <w:szCs w:val="26"/>
        </w:rPr>
        <w:t>Clinical language and guideline-sourced “Why?” tooltip</w:t>
      </w:r>
    </w:p>
    <w:p w14:paraId="18C87D0E" w14:textId="73609796" w:rsidR="00F26EEB" w:rsidRPr="003B5854" w:rsidRDefault="00913B08" w:rsidP="003B5854">
      <w:pPr>
        <w:pStyle w:val="ListParagraph"/>
        <w:spacing w:before="322" w:after="92" w:line="269" w:lineRule="auto"/>
        <w:rPr>
          <w:sz w:val="26"/>
          <w:szCs w:val="26"/>
        </w:rPr>
      </w:pPr>
      <w:r>
        <w:rPr>
          <w:sz w:val="26"/>
          <w:szCs w:val="26"/>
        </w:rPr>
        <w:t>Interface copy and explanatory tooltips use clinical language and guideline-backed rationale, creating an excellent match to how clinicians actually think and work.</w:t>
      </w:r>
    </w:p>
    <w:p w14:paraId="2A4ED3A9" w14:textId="77777777" w:rsidR="00F26EEB" w:rsidRPr="003B5854" w:rsidRDefault="00913B08" w:rsidP="00F26EEB">
      <w:pPr>
        <w:pStyle w:val="ListParagraph"/>
        <w:numPr>
          <w:ilvl w:val="0"/>
          <w:numId w:val="10"/>
        </w:numPr>
        <w:spacing w:before="322" w:after="92" w:line="269" w:lineRule="auto"/>
        <w:rPr>
          <w:sz w:val="28"/>
          <w:szCs w:val="28"/>
        </w:rPr>
      </w:pPr>
      <w:r>
        <w:rPr>
          <w:b/>
          <w:color w:val="0F766E"/>
          <w:sz w:val="28"/>
          <w:szCs w:val="28"/>
        </w:rPr>
        <w:t>Visibility of system status</w:t>
      </w:r>
    </w:p>
    <w:p w14:paraId="194C6264" w14:textId="77777777" w:rsidR="00F26EEB" w:rsidRPr="003B5854" w:rsidRDefault="00913B08" w:rsidP="00F26EEB">
      <w:pPr>
        <w:pStyle w:val="ListParagraph"/>
        <w:spacing w:before="322" w:after="92" w:line="269" w:lineRule="auto"/>
        <w:rPr>
          <w:b/>
          <w:sz w:val="26"/>
          <w:szCs w:val="26"/>
        </w:rPr>
      </w:pPr>
      <w:r>
        <w:rPr>
          <w:b/>
          <w:sz w:val="26"/>
          <w:szCs w:val="26"/>
        </w:rPr>
        <w:t>Real-time feedback: badge flips, toasts, and disabled Sign button</w:t>
      </w:r>
    </w:p>
    <w:p w14:paraId="20D6B75C" w14:textId="2FEC733C" w:rsidR="00F26EEB" w:rsidRPr="003B5854" w:rsidRDefault="00913B08" w:rsidP="00F26EEB">
      <w:pPr>
        <w:pStyle w:val="ListParagraph"/>
        <w:spacing w:before="322" w:after="92" w:line="269" w:lineRule="auto"/>
        <w:rPr>
          <w:sz w:val="26"/>
          <w:szCs w:val="26"/>
        </w:rPr>
      </w:pPr>
      <w:r>
        <w:rPr>
          <w:sz w:val="26"/>
          <w:szCs w:val="26"/>
        </w:rPr>
        <w:t>Immediate feedback communicates progress and blocking states clearly—what has been accepted, what remains, and when signing is not yet available—supporting safe completion of the flow.</w:t>
      </w:r>
    </w:p>
    <w:p w14:paraId="1BA8B598" w14:textId="77777777" w:rsidR="00F26EEB" w:rsidRPr="003B5854" w:rsidRDefault="00913B08" w:rsidP="00F26EEB">
      <w:pPr>
        <w:pStyle w:val="ListParagraph"/>
        <w:numPr>
          <w:ilvl w:val="0"/>
          <w:numId w:val="10"/>
        </w:numPr>
        <w:spacing w:before="322" w:after="92" w:line="269" w:lineRule="auto"/>
        <w:rPr>
          <w:sz w:val="28"/>
          <w:szCs w:val="28"/>
        </w:rPr>
      </w:pPr>
      <w:r>
        <w:rPr>
          <w:b/>
          <w:color w:val="0F766E"/>
          <w:sz w:val="28"/>
          <w:szCs w:val="28"/>
        </w:rPr>
        <w:t>Flexibility and efficiency of use</w:t>
      </w:r>
    </w:p>
    <w:p w14:paraId="24820E9F" w14:textId="77777777" w:rsidR="00F26EEB" w:rsidRPr="003B5854" w:rsidRDefault="00913B08" w:rsidP="00F26EEB">
      <w:pPr>
        <w:pStyle w:val="ListParagraph"/>
        <w:spacing w:before="322" w:after="92" w:line="269" w:lineRule="auto"/>
        <w:rPr>
          <w:b/>
          <w:sz w:val="26"/>
          <w:szCs w:val="26"/>
        </w:rPr>
      </w:pPr>
      <w:r>
        <w:rPr>
          <w:b/>
          <w:sz w:val="26"/>
          <w:szCs w:val="26"/>
        </w:rPr>
        <w:t>Simplified view toggle and Accept All accelerator</w:t>
      </w:r>
    </w:p>
    <w:p w14:paraId="2F51FBF7" w14:textId="769F6607" w:rsidR="00F26EEB" w:rsidRPr="003B5854" w:rsidRDefault="00913B08" w:rsidP="00F26EEB">
      <w:pPr>
        <w:pStyle w:val="ListParagraph"/>
        <w:spacing w:before="322" w:after="92" w:line="269" w:lineRule="auto"/>
        <w:rPr>
          <w:sz w:val="26"/>
          <w:szCs w:val="26"/>
        </w:rPr>
      </w:pPr>
      <w:r>
        <w:rPr>
          <w:sz w:val="26"/>
          <w:szCs w:val="26"/>
        </w:rPr>
        <w:t>Supports both novice and expert paths: a simplified view for reduced cognitive load and an Accept All accelerator for experienced clinicians who still retain per-section control when needed.</w:t>
      </w:r>
    </w:p>
    <w:p w14:paraId="19C886AB" w14:textId="77777777" w:rsidR="00A74E51" w:rsidRPr="003B5854" w:rsidRDefault="00913B08">
      <w:pPr>
        <w:spacing w:before="92" w:after="184"/>
        <w:rPr>
          <w:sz w:val="26"/>
          <w:szCs w:val="26"/>
        </w:rPr>
      </w:pPr>
      <w:r>
        <w:rPr>
          <w:sz w:val="26"/>
          <w:szCs w:val="26"/>
        </w:rPr>
        <w:t>Nine additional positive findings were also recorded (not detailed here), spanning navigation clarity, consistency of interaction patterns, and support for interrupted bedside workflows.</w:t>
      </w:r>
    </w:p>
    <w:p w14:paraId="3CE31288" w14:textId="77777777" w:rsidR="00A74E51" w:rsidRDefault="00913B08">
      <w:pPr>
        <w:spacing w:before="368" w:after="138"/>
      </w:pPr>
      <w:r>
        <w:rPr>
          <w:b/>
          <w:color w:val="3730A3"/>
          <w:sz w:val="30"/>
        </w:rPr>
        <w:t>3. Highest-Priority Findings (Severity 3 · Major)</w:t>
      </w:r>
    </w:p>
    <w:p w14:paraId="3D6E49DD" w14:textId="77777777" w:rsidR="00F26EEB" w:rsidRPr="003B5854" w:rsidRDefault="00913B08" w:rsidP="00F26EEB">
      <w:pPr>
        <w:spacing w:before="46" w:after="92"/>
        <w:rPr>
          <w:sz w:val="26"/>
          <w:szCs w:val="26"/>
        </w:rPr>
      </w:pPr>
      <w:r>
        <w:rPr>
          <w:sz w:val="26"/>
          <w:szCs w:val="26"/>
        </w:rPr>
        <w:t>The following issues were rated Severity 3 (Major) and should be addressed before broader testing.</w:t>
      </w:r>
    </w:p>
    <w:p w14:paraId="22908877" w14:textId="5A3431A9" w:rsidR="00F26EEB" w:rsidRPr="003B5854" w:rsidRDefault="00913B08" w:rsidP="00F26EEB">
      <w:pPr>
        <w:pStyle w:val="ListParagraph"/>
        <w:numPr>
          <w:ilvl w:val="0"/>
          <w:numId w:val="12"/>
        </w:numPr>
        <w:spacing w:before="46" w:after="92"/>
        <w:rPr>
          <w:sz w:val="28"/>
          <w:szCs w:val="28"/>
        </w:rPr>
      </w:pPr>
      <w:r>
        <w:rPr>
          <w:b/>
          <w:color w:val="B45309"/>
          <w:sz w:val="28"/>
          <w:szCs w:val="28"/>
        </w:rPr>
        <w:t>Heuristic #3 · User Control &amp; Freedom</w:t>
      </w:r>
    </w:p>
    <w:p w14:paraId="48AA39E0" w14:textId="77777777" w:rsidR="00F26EEB" w:rsidRPr="003B5854" w:rsidRDefault="00913B08" w:rsidP="00F26EEB">
      <w:pPr>
        <w:pStyle w:val="ListParagraph"/>
        <w:spacing w:before="46" w:after="92"/>
        <w:rPr>
          <w:b/>
          <w:sz w:val="26"/>
          <w:szCs w:val="26"/>
        </w:rPr>
      </w:pPr>
      <w:r>
        <w:rPr>
          <w:b/>
          <w:sz w:val="26"/>
          <w:szCs w:val="26"/>
        </w:rPr>
        <w:t>No Unaccept / Re-open control after a SOAP section is Accepted</w:t>
      </w:r>
    </w:p>
    <w:p w14:paraId="2024FB17" w14:textId="77777777" w:rsidR="00F26EEB" w:rsidRPr="003B5854" w:rsidRDefault="00913B08" w:rsidP="00F26EEB">
      <w:pPr>
        <w:pStyle w:val="ListParagraph"/>
        <w:spacing w:before="46" w:after="92"/>
        <w:rPr>
          <w:sz w:val="26"/>
          <w:szCs w:val="26"/>
        </w:rPr>
      </w:pPr>
      <w:r>
        <w:rPr>
          <w:sz w:val="26"/>
          <w:szCs w:val="26"/>
        </w:rPr>
        <w:t>Impact: Creates a false sense of completion and undermines trust for high-skepticism clinicians.</w:t>
      </w:r>
    </w:p>
    <w:p w14:paraId="71925029" w14:textId="6F7809EC" w:rsidR="00F26EEB" w:rsidRPr="003B5854" w:rsidRDefault="00913B08" w:rsidP="00F26EEB">
      <w:pPr>
        <w:pStyle w:val="ListParagraph"/>
        <w:numPr>
          <w:ilvl w:val="0"/>
          <w:numId w:val="12"/>
        </w:numPr>
        <w:spacing w:before="46" w:after="92"/>
        <w:rPr>
          <w:sz w:val="28"/>
          <w:szCs w:val="28"/>
        </w:rPr>
      </w:pPr>
      <w:r>
        <w:rPr>
          <w:b/>
          <w:color w:val="B45309"/>
          <w:sz w:val="28"/>
          <w:szCs w:val="28"/>
        </w:rPr>
        <w:t>Heuristic #5 · Error Prevention</w:t>
      </w:r>
    </w:p>
    <w:p w14:paraId="3E7FFB34" w14:textId="77777777" w:rsidR="00F26EEB" w:rsidRPr="003B5854" w:rsidRDefault="00913B08" w:rsidP="00F26EEB">
      <w:pPr>
        <w:pStyle w:val="ListParagraph"/>
        <w:spacing w:before="46" w:after="92"/>
        <w:rPr>
          <w:b/>
          <w:sz w:val="26"/>
          <w:szCs w:val="26"/>
        </w:rPr>
      </w:pPr>
      <w:r>
        <w:rPr>
          <w:b/>
          <w:sz w:val="26"/>
          <w:szCs w:val="26"/>
        </w:rPr>
        <w:t>Pre-sign acknowledgments could be clicked through without reading</w:t>
      </w:r>
    </w:p>
    <w:p w14:paraId="38317E0F" w14:textId="77777777" w:rsidR="00F26EEB" w:rsidRPr="003B5854" w:rsidRDefault="00913B08" w:rsidP="00F26EEB">
      <w:pPr>
        <w:pStyle w:val="ListParagraph"/>
        <w:spacing w:before="46" w:after="92"/>
        <w:rPr>
          <w:sz w:val="26"/>
          <w:szCs w:val="26"/>
        </w:rPr>
      </w:pPr>
      <w:r>
        <w:rPr>
          <w:sz w:val="26"/>
          <w:szCs w:val="26"/>
        </w:rPr>
        <w:t>Impact: Weakens the two-gate safety model intended to prevent signing of unreviewed AI content.</w:t>
      </w:r>
    </w:p>
    <w:p w14:paraId="08FE9364" w14:textId="7D1806CF" w:rsidR="00F26EEB" w:rsidRPr="003B5854" w:rsidRDefault="00913B08" w:rsidP="00F26EEB">
      <w:pPr>
        <w:pStyle w:val="ListParagraph"/>
        <w:numPr>
          <w:ilvl w:val="0"/>
          <w:numId w:val="12"/>
        </w:numPr>
        <w:spacing w:before="46" w:after="92"/>
        <w:rPr>
          <w:sz w:val="28"/>
          <w:szCs w:val="28"/>
        </w:rPr>
      </w:pPr>
      <w:r>
        <w:rPr>
          <w:b/>
          <w:color w:val="B45309"/>
          <w:sz w:val="28"/>
          <w:szCs w:val="28"/>
        </w:rPr>
        <w:t>Heuristic #9 · Error Recovery</w:t>
      </w:r>
    </w:p>
    <w:p w14:paraId="6500D63A" w14:textId="77777777" w:rsidR="00F26EEB" w:rsidRPr="003B5854" w:rsidRDefault="00913B08" w:rsidP="00F26EEB">
      <w:pPr>
        <w:pStyle w:val="ListParagraph"/>
        <w:spacing w:before="46" w:after="92"/>
        <w:rPr>
          <w:b/>
          <w:sz w:val="26"/>
          <w:szCs w:val="26"/>
        </w:rPr>
      </w:pPr>
      <w:r>
        <w:rPr>
          <w:b/>
          <w:sz w:val="26"/>
          <w:szCs w:val="26"/>
        </w:rPr>
        <w:t>Weak failure + retry path for “Writing to chart…” and gate failures</w:t>
      </w:r>
    </w:p>
    <w:p w14:paraId="1B25572B" w14:textId="77777777" w:rsidR="00F26EEB" w:rsidRPr="003B5854" w:rsidRDefault="00913B08" w:rsidP="00F26EEB">
      <w:pPr>
        <w:pStyle w:val="ListParagraph"/>
        <w:spacing w:before="46" w:after="92"/>
        <w:rPr>
          <w:sz w:val="26"/>
          <w:szCs w:val="26"/>
        </w:rPr>
      </w:pPr>
      <w:r>
        <w:rPr>
          <w:sz w:val="26"/>
          <w:szCs w:val="26"/>
        </w:rPr>
        <w:lastRenderedPageBreak/>
        <w:t>Impact: Users can become stuck with no clear recovery if a network or state error occurs.</w:t>
      </w:r>
    </w:p>
    <w:p w14:paraId="7A11140B" w14:textId="7C76F1C9" w:rsidR="00F26EEB" w:rsidRPr="003B5854" w:rsidRDefault="00913B08" w:rsidP="00F26EEB">
      <w:pPr>
        <w:pStyle w:val="ListParagraph"/>
        <w:numPr>
          <w:ilvl w:val="0"/>
          <w:numId w:val="12"/>
        </w:numPr>
        <w:spacing w:before="46" w:after="92"/>
        <w:rPr>
          <w:sz w:val="28"/>
          <w:szCs w:val="28"/>
        </w:rPr>
      </w:pPr>
      <w:r>
        <w:rPr>
          <w:b/>
          <w:color w:val="B45309"/>
          <w:sz w:val="28"/>
          <w:szCs w:val="28"/>
        </w:rPr>
        <w:t>Heuristic #3 · User Control &amp; Freedom</w:t>
      </w:r>
    </w:p>
    <w:p w14:paraId="6CEC1D58" w14:textId="77777777" w:rsidR="00F26EEB" w:rsidRPr="003B5854" w:rsidRDefault="00913B08" w:rsidP="00F26EEB">
      <w:pPr>
        <w:pStyle w:val="ListParagraph"/>
        <w:spacing w:before="46" w:after="92"/>
        <w:rPr>
          <w:b/>
          <w:sz w:val="26"/>
          <w:szCs w:val="26"/>
        </w:rPr>
      </w:pPr>
      <w:r>
        <w:rPr>
          <w:b/>
          <w:sz w:val="26"/>
          <w:szCs w:val="26"/>
        </w:rPr>
        <w:t>No clear Cancel visit / Discard ambient draft path mid-flow</w:t>
      </w:r>
    </w:p>
    <w:p w14:paraId="6E55E4B5" w14:textId="78D05F7C" w:rsidR="00A74E51" w:rsidRPr="003B5854" w:rsidRDefault="00913B08" w:rsidP="00F26EEB">
      <w:pPr>
        <w:pStyle w:val="ListParagraph"/>
        <w:spacing w:before="46" w:after="92"/>
        <w:rPr>
          <w:sz w:val="26"/>
          <w:szCs w:val="26"/>
        </w:rPr>
      </w:pPr>
      <w:r>
        <w:rPr>
          <w:sz w:val="26"/>
          <w:szCs w:val="26"/>
        </w:rPr>
        <w:t>Impact: Clinicians have limited freedom if they decide the capture is unusable.</w:t>
      </w:r>
    </w:p>
    <w:p w14:paraId="7033F740" w14:textId="77777777" w:rsidR="00A74E51" w:rsidRDefault="00913B08">
      <w:pPr>
        <w:spacing w:before="368" w:after="138"/>
      </w:pPr>
      <w:r>
        <w:rPr>
          <w:b/>
          <w:color w:val="3730A3"/>
          <w:sz w:val="30"/>
        </w:rPr>
        <w:t>4. Priority Recommendations</w:t>
      </w:r>
    </w:p>
    <w:p w14:paraId="14A14A10" w14:textId="77777777" w:rsidR="00A74E51" w:rsidRPr="003B5854" w:rsidRDefault="00913B08">
      <w:pPr>
        <w:spacing w:before="184" w:after="115"/>
        <w:rPr>
          <w:sz w:val="28"/>
          <w:szCs w:val="28"/>
        </w:rPr>
      </w:pPr>
      <w:r>
        <w:rPr>
          <w:b/>
          <w:color w:val="DC2626"/>
          <w:sz w:val="28"/>
          <w:szCs w:val="28"/>
        </w:rPr>
        <w:t>High priority</w:t>
      </w:r>
    </w:p>
    <w:p w14:paraId="0AA30C60" w14:textId="77777777" w:rsidR="00A74E51" w:rsidRPr="003B5854" w:rsidRDefault="00913B08">
      <w:pPr>
        <w:tabs>
          <w:tab w:val="left" w:pos="576"/>
        </w:tabs>
        <w:spacing w:before="92" w:after="92" w:line="283" w:lineRule="auto"/>
        <w:ind w:left="576" w:hanging="259"/>
        <w:rPr>
          <w:sz w:val="26"/>
          <w:szCs w:val="26"/>
        </w:rPr>
      </w:pPr>
      <w:r>
        <w:rPr>
          <w:sz w:val="26"/>
          <w:szCs w:val="26"/>
        </w:rPr>
        <w:t>•</w:t>
      </w:r>
      <w:r>
        <w:rPr>
          <w:sz w:val="26"/>
          <w:szCs w:val="26"/>
        </w:rPr>
        <w:tab/>
        <w:t>Add Unaccept / Re-open for review control on each SOAP section (and a global option).</w:t>
      </w:r>
    </w:p>
    <w:p w14:paraId="2C1E7A12" w14:textId="77777777" w:rsidR="00A74E51" w:rsidRPr="003B5854" w:rsidRDefault="00913B08">
      <w:pPr>
        <w:tabs>
          <w:tab w:val="left" w:pos="576"/>
        </w:tabs>
        <w:spacing w:before="92" w:after="92" w:line="283" w:lineRule="auto"/>
        <w:ind w:left="576" w:hanging="259"/>
        <w:rPr>
          <w:sz w:val="26"/>
          <w:szCs w:val="26"/>
        </w:rPr>
      </w:pPr>
      <w:r>
        <w:rPr>
          <w:sz w:val="26"/>
          <w:szCs w:val="26"/>
        </w:rPr>
        <w:t>•</w:t>
      </w:r>
      <w:r>
        <w:rPr>
          <w:sz w:val="26"/>
          <w:szCs w:val="26"/>
        </w:rPr>
        <w:tab/>
        <w:t>Strengthen the pre-sign gate so speed-clicking through checkboxes without reading is harder (micro-scroll, hold-to-confirm, or progressive disclosure).</w:t>
      </w:r>
    </w:p>
    <w:p w14:paraId="283DCB0C" w14:textId="77777777" w:rsidR="00A74E51" w:rsidRPr="003B5854" w:rsidRDefault="00913B08">
      <w:pPr>
        <w:tabs>
          <w:tab w:val="left" w:pos="576"/>
        </w:tabs>
        <w:spacing w:before="92" w:after="92" w:line="283" w:lineRule="auto"/>
        <w:ind w:left="576" w:hanging="259"/>
        <w:rPr>
          <w:sz w:val="26"/>
          <w:szCs w:val="26"/>
        </w:rPr>
      </w:pPr>
      <w:r>
        <w:rPr>
          <w:sz w:val="26"/>
          <w:szCs w:val="26"/>
        </w:rPr>
        <w:t>•</w:t>
      </w:r>
      <w:r>
        <w:rPr>
          <w:sz w:val="26"/>
          <w:szCs w:val="26"/>
        </w:rPr>
        <w:tab/>
        <w:t>Add explicit failure + retry UI for the “Writing to chart…” state and any failed gate.</w:t>
      </w:r>
    </w:p>
    <w:p w14:paraId="65A36246" w14:textId="77777777" w:rsidR="00A74E51" w:rsidRPr="003B5854" w:rsidRDefault="00913B08">
      <w:pPr>
        <w:spacing w:before="276" w:after="115"/>
        <w:rPr>
          <w:sz w:val="28"/>
          <w:szCs w:val="28"/>
        </w:rPr>
      </w:pPr>
      <w:r>
        <w:rPr>
          <w:b/>
          <w:color w:val="B45309"/>
          <w:sz w:val="28"/>
          <w:szCs w:val="28"/>
        </w:rPr>
        <w:t>Medium priority</w:t>
      </w:r>
    </w:p>
    <w:p w14:paraId="47FE0C3E" w14:textId="77777777" w:rsidR="00A74E51" w:rsidRDefault="00913B08">
      <w:pPr>
        <w:tabs>
          <w:tab w:val="left" w:pos="576"/>
        </w:tabs>
        <w:spacing w:before="92" w:after="92" w:line="283" w:lineRule="auto"/>
        <w:ind w:left="576" w:hanging="259"/>
      </w:pPr>
      <w:r>
        <w:t>•</w:t>
      </w:r>
      <w:r>
        <w:rPr>
          <w:sz w:val="26"/>
          <w:szCs w:val="26"/>
        </w:rPr>
        <w:tab/>
        <w:t>Persist a Visit Context sticky (checked agenda + open SDOH + patient header) while in SOAP and Pre-sign.</w:t>
      </w:r>
    </w:p>
    <w:p w14:paraId="7828872E" w14:textId="77777777" w:rsidR="00A74E51" w:rsidRPr="003B5854" w:rsidRDefault="00913B08">
      <w:pPr>
        <w:spacing w:before="276" w:after="115"/>
        <w:rPr>
          <w:sz w:val="28"/>
          <w:szCs w:val="28"/>
        </w:rPr>
      </w:pPr>
      <w:r>
        <w:rPr>
          <w:b/>
          <w:color w:val="0F766E"/>
          <w:sz w:val="28"/>
          <w:szCs w:val="28"/>
        </w:rPr>
        <w:t>Polish</w:t>
      </w:r>
    </w:p>
    <w:p w14:paraId="45D6D5B0" w14:textId="77777777" w:rsidR="00A74E51" w:rsidRPr="003B5854" w:rsidRDefault="00913B08">
      <w:pPr>
        <w:tabs>
          <w:tab w:val="left" w:pos="576"/>
        </w:tabs>
        <w:spacing w:before="92" w:after="92" w:line="283" w:lineRule="auto"/>
        <w:ind w:left="576" w:hanging="259"/>
        <w:rPr>
          <w:sz w:val="26"/>
          <w:szCs w:val="26"/>
        </w:rPr>
      </w:pPr>
      <w:r>
        <w:t>•</w:t>
      </w:r>
      <w:r>
        <w:tab/>
      </w:r>
      <w:r>
        <w:rPr>
          <w:sz w:val="26"/>
          <w:szCs w:val="26"/>
        </w:rPr>
        <w:t>Show exact remaining sections (“2 of 4 still need Accept”) in the disabled Sign button or progress indicator.</w:t>
      </w:r>
    </w:p>
    <w:p w14:paraId="5DD0A304" w14:textId="77777777" w:rsidR="00A74E51" w:rsidRPr="003B5854" w:rsidRDefault="00913B08">
      <w:pPr>
        <w:tabs>
          <w:tab w:val="left" w:pos="576"/>
        </w:tabs>
        <w:spacing w:before="92" w:after="92" w:line="283" w:lineRule="auto"/>
        <w:ind w:left="576" w:hanging="259"/>
        <w:rPr>
          <w:sz w:val="26"/>
          <w:szCs w:val="26"/>
        </w:rPr>
      </w:pPr>
      <w:r>
        <w:rPr>
          <w:sz w:val="26"/>
          <w:szCs w:val="26"/>
        </w:rPr>
        <w:t>•</w:t>
      </w:r>
      <w:r>
        <w:rPr>
          <w:sz w:val="26"/>
          <w:szCs w:val="26"/>
        </w:rPr>
        <w:tab/>
        <w:t>Add keyboard accelerators (Accept next, toggle transcript, jump to next unreviewed).</w:t>
      </w:r>
    </w:p>
    <w:p w14:paraId="280AC7BE" w14:textId="77777777" w:rsidR="00A74E51" w:rsidRPr="003B5854" w:rsidRDefault="00913B08">
      <w:pPr>
        <w:tabs>
          <w:tab w:val="left" w:pos="576"/>
        </w:tabs>
        <w:spacing w:before="92" w:after="92" w:line="283" w:lineRule="auto"/>
        <w:ind w:left="576" w:hanging="259"/>
        <w:rPr>
          <w:sz w:val="26"/>
          <w:szCs w:val="26"/>
        </w:rPr>
      </w:pPr>
      <w:r>
        <w:rPr>
          <w:sz w:val="26"/>
          <w:szCs w:val="26"/>
        </w:rPr>
        <w:t>•</w:t>
      </w:r>
      <w:r>
        <w:rPr>
          <w:sz w:val="26"/>
          <w:szCs w:val="26"/>
        </w:rPr>
        <w:tab/>
        <w:t>Expose a lightweight “How this AI works / Trust model” drawer.</w:t>
      </w:r>
    </w:p>
    <w:p w14:paraId="409D7E18" w14:textId="77777777" w:rsidR="00A74E51" w:rsidRDefault="00913B08">
      <w:pPr>
        <w:spacing w:before="368" w:after="138"/>
      </w:pPr>
      <w:r>
        <w:rPr>
          <w:b/>
          <w:color w:val="3730A3"/>
          <w:sz w:val="30"/>
        </w:rPr>
        <w:t>5. Evaluation Method (Brief)</w:t>
      </w:r>
    </w:p>
    <w:p w14:paraId="74FB2FCA" w14:textId="77777777" w:rsidR="00A74E51" w:rsidRPr="003B5854" w:rsidRDefault="00913B08">
      <w:pPr>
        <w:spacing w:before="46" w:after="115"/>
        <w:rPr>
          <w:sz w:val="26"/>
          <w:szCs w:val="26"/>
        </w:rPr>
      </w:pPr>
      <w:r>
        <w:rPr>
          <w:sz w:val="26"/>
          <w:szCs w:val="26"/>
        </w:rPr>
        <w:t>This summary is based on a full expert heuristic evaluation using:</w:t>
      </w:r>
    </w:p>
    <w:p w14:paraId="636546C0" w14:textId="77777777" w:rsidR="00A74E51" w:rsidRPr="003B5854" w:rsidRDefault="00913B08">
      <w:pPr>
        <w:tabs>
          <w:tab w:val="left" w:pos="576"/>
        </w:tabs>
        <w:spacing w:before="83" w:after="83" w:line="283" w:lineRule="auto"/>
        <w:ind w:left="576" w:hanging="259"/>
        <w:rPr>
          <w:sz w:val="26"/>
          <w:szCs w:val="26"/>
        </w:rPr>
      </w:pPr>
      <w:r>
        <w:rPr>
          <w:sz w:val="26"/>
          <w:szCs w:val="26"/>
        </w:rPr>
        <w:t>•</w:t>
      </w:r>
      <w:r>
        <w:rPr>
          <w:sz w:val="26"/>
          <w:szCs w:val="26"/>
        </w:rPr>
        <w:tab/>
        <w:t>Nielsen’s 10 Usability Heuristics (2020 refined explanations)</w:t>
      </w:r>
    </w:p>
    <w:p w14:paraId="3F582305" w14:textId="77777777" w:rsidR="00A74E51" w:rsidRPr="003B5854" w:rsidRDefault="00913B08">
      <w:pPr>
        <w:tabs>
          <w:tab w:val="left" w:pos="576"/>
        </w:tabs>
        <w:spacing w:before="83" w:after="83" w:line="283" w:lineRule="auto"/>
        <w:ind w:left="576" w:hanging="259"/>
        <w:rPr>
          <w:sz w:val="26"/>
          <w:szCs w:val="26"/>
        </w:rPr>
      </w:pPr>
      <w:r>
        <w:rPr>
          <w:sz w:val="26"/>
          <w:szCs w:val="26"/>
        </w:rPr>
        <w:t>•</w:t>
      </w:r>
      <w:r>
        <w:rPr>
          <w:sz w:val="26"/>
          <w:szCs w:val="26"/>
        </w:rPr>
        <w:tab/>
        <w:t>Google PAIR Guidebook + Microsoft HAX Toolkit (AI-specific transparency, control, and trust)</w:t>
      </w:r>
    </w:p>
    <w:p w14:paraId="3344468B" w14:textId="77777777" w:rsidR="00A74E51" w:rsidRPr="003B5854" w:rsidRDefault="00913B08">
      <w:pPr>
        <w:tabs>
          <w:tab w:val="left" w:pos="576"/>
        </w:tabs>
        <w:spacing w:before="83" w:after="83" w:line="283" w:lineRule="auto"/>
        <w:ind w:left="576" w:hanging="259"/>
        <w:rPr>
          <w:sz w:val="26"/>
          <w:szCs w:val="26"/>
        </w:rPr>
      </w:pPr>
      <w:r>
        <w:rPr>
          <w:sz w:val="26"/>
          <w:szCs w:val="26"/>
        </w:rPr>
        <w:t>•</w:t>
      </w:r>
      <w:r>
        <w:rPr>
          <w:sz w:val="26"/>
          <w:szCs w:val="26"/>
        </w:rPr>
        <w:tab/>
        <w:t>WCAG 2.2 AA (accessibility)</w:t>
      </w:r>
    </w:p>
    <w:p w14:paraId="5D530029" w14:textId="77777777" w:rsidR="00A74E51" w:rsidRPr="003B5854" w:rsidRDefault="00913B08">
      <w:pPr>
        <w:tabs>
          <w:tab w:val="left" w:pos="576"/>
        </w:tabs>
        <w:spacing w:before="83" w:after="83" w:line="283" w:lineRule="auto"/>
        <w:ind w:left="576" w:hanging="259"/>
        <w:rPr>
          <w:sz w:val="26"/>
          <w:szCs w:val="26"/>
        </w:rPr>
      </w:pPr>
      <w:r>
        <w:rPr>
          <w:sz w:val="26"/>
          <w:szCs w:val="26"/>
        </w:rPr>
        <w:t>•</w:t>
      </w:r>
      <w:r>
        <w:rPr>
          <w:sz w:val="26"/>
          <w:szCs w:val="26"/>
        </w:rPr>
        <w:tab/>
        <w:t>NIST EHR usability guidance (clinical safety)</w:t>
      </w:r>
    </w:p>
    <w:p w14:paraId="543A118A" w14:textId="77777777" w:rsidR="00A74E51" w:rsidRPr="003B5854" w:rsidRDefault="00913B08">
      <w:pPr>
        <w:tabs>
          <w:tab w:val="left" w:pos="576"/>
        </w:tabs>
        <w:spacing w:before="83" w:after="83" w:line="283" w:lineRule="auto"/>
        <w:ind w:left="576" w:hanging="259"/>
        <w:rPr>
          <w:sz w:val="26"/>
          <w:szCs w:val="26"/>
        </w:rPr>
      </w:pPr>
      <w:r>
        <w:rPr>
          <w:sz w:val="26"/>
          <w:szCs w:val="26"/>
        </w:rPr>
        <w:lastRenderedPageBreak/>
        <w:t>•</w:t>
      </w:r>
      <w:r>
        <w:rPr>
          <w:sz w:val="26"/>
          <w:szCs w:val="26"/>
        </w:rPr>
        <w:tab/>
        <w:t>Project Evidence Wall design recommendations (D1–D5)</w:t>
      </w:r>
    </w:p>
    <w:p w14:paraId="52BFC382" w14:textId="77777777" w:rsidR="00A74E51" w:rsidRDefault="00913B08">
      <w:pPr>
        <w:spacing w:before="368" w:after="138"/>
      </w:pPr>
      <w:r>
        <w:rPr>
          <w:b/>
          <w:color w:val="3730A3"/>
          <w:sz w:val="30"/>
        </w:rPr>
        <w:t>6. Relationship to Moderated Usability Testing</w:t>
      </w:r>
    </w:p>
    <w:p w14:paraId="21BC2D0B" w14:textId="77777777" w:rsidR="00A74E51" w:rsidRPr="003B5854" w:rsidRDefault="00913B08">
      <w:pPr>
        <w:spacing w:before="46" w:after="184"/>
        <w:rPr>
          <w:sz w:val="26"/>
          <w:szCs w:val="26"/>
        </w:rPr>
      </w:pPr>
      <w:r>
        <w:rPr>
          <w:sz w:val="26"/>
          <w:szCs w:val="26"/>
        </w:rPr>
        <w:t>This heuristic evaluation was conducted separately from one moderated think-aloud session on the same prototype. Complementary findings informed a single refinement pass. Only the updates that shipped in the live prototype are listed below.</w:t>
      </w:r>
    </w:p>
    <w:p w14:paraId="4B18B82B" w14:textId="77777777" w:rsidR="00A74E51" w:rsidRPr="003B5854" w:rsidRDefault="00913B08">
      <w:pPr>
        <w:spacing w:before="184" w:after="115"/>
        <w:rPr>
          <w:sz w:val="28"/>
          <w:szCs w:val="28"/>
        </w:rPr>
      </w:pPr>
      <w:r>
        <w:rPr>
          <w:b/>
          <w:color w:val="1D4ED8"/>
          <w:sz w:val="28"/>
          <w:szCs w:val="28"/>
        </w:rPr>
        <w:t>From the moderated session</w:t>
      </w:r>
    </w:p>
    <w:p w14:paraId="0E5E13CE" w14:textId="77777777" w:rsidR="00A74E51" w:rsidRDefault="00913B08">
      <w:pPr>
        <w:tabs>
          <w:tab w:val="left" w:pos="576"/>
        </w:tabs>
        <w:spacing w:before="92" w:after="92" w:line="283" w:lineRule="auto"/>
        <w:ind w:left="576" w:hanging="259"/>
      </w:pPr>
      <w:r>
        <w:t>•</w:t>
      </w:r>
      <w:r>
        <w:tab/>
      </w:r>
      <w:r>
        <w:rPr>
          <w:sz w:val="26"/>
          <w:szCs w:val="26"/>
        </w:rPr>
        <w:t>Skippable first-load onboarding wizard that clarifies amber AI drafts, edit affordances, and per-section Accept with two-gate signing.</w:t>
      </w:r>
    </w:p>
    <w:p w14:paraId="4A2A7291" w14:textId="77777777" w:rsidR="00A74E51" w:rsidRPr="003B5854" w:rsidRDefault="00913B08">
      <w:pPr>
        <w:spacing w:before="276" w:after="115"/>
        <w:rPr>
          <w:sz w:val="28"/>
          <w:szCs w:val="28"/>
        </w:rPr>
      </w:pPr>
      <w:r>
        <w:rPr>
          <w:b/>
          <w:color w:val="0F766E"/>
          <w:sz w:val="28"/>
          <w:szCs w:val="28"/>
        </w:rPr>
        <w:t>From heuristic review (shipped in the prototype)</w:t>
      </w:r>
    </w:p>
    <w:p w14:paraId="597A0F5F" w14:textId="77777777" w:rsidR="00A74E51" w:rsidRPr="003B5854" w:rsidRDefault="00913B08">
      <w:pPr>
        <w:tabs>
          <w:tab w:val="left" w:pos="576"/>
        </w:tabs>
        <w:spacing w:before="92" w:after="92" w:line="283" w:lineRule="auto"/>
        <w:ind w:left="576" w:hanging="259"/>
        <w:rPr>
          <w:sz w:val="26"/>
          <w:szCs w:val="26"/>
        </w:rPr>
      </w:pPr>
      <w:r>
        <w:t>•</w:t>
      </w:r>
      <w:r>
        <w:rPr>
          <w:sz w:val="26"/>
          <w:szCs w:val="26"/>
        </w:rPr>
        <w:tab/>
        <w:t>Unaccept / re-review control on SOAP sections</w:t>
      </w:r>
    </w:p>
    <w:p w14:paraId="3AACA287" w14:textId="77777777" w:rsidR="00A74E51" w:rsidRPr="003B5854" w:rsidRDefault="00913B08">
      <w:pPr>
        <w:tabs>
          <w:tab w:val="left" w:pos="576"/>
        </w:tabs>
        <w:spacing w:before="92" w:after="92" w:line="283" w:lineRule="auto"/>
        <w:ind w:left="576" w:hanging="259"/>
        <w:rPr>
          <w:sz w:val="26"/>
          <w:szCs w:val="26"/>
        </w:rPr>
      </w:pPr>
      <w:r>
        <w:rPr>
          <w:sz w:val="26"/>
          <w:szCs w:val="26"/>
        </w:rPr>
        <w:t>•</w:t>
      </w:r>
      <w:r>
        <w:rPr>
          <w:sz w:val="26"/>
          <w:szCs w:val="26"/>
        </w:rPr>
        <w:tab/>
        <w:t>Strengthened pre-sign gate: Sign stays locked until both acknowledgments are checked, with specific guidance when one is missing</w:t>
      </w:r>
    </w:p>
    <w:p w14:paraId="0BE3E7EB" w14:textId="77777777" w:rsidR="00A74E51" w:rsidRPr="003B5854" w:rsidRDefault="00913B08">
      <w:pPr>
        <w:tabs>
          <w:tab w:val="left" w:pos="576"/>
        </w:tabs>
        <w:spacing w:before="92" w:after="92" w:line="283" w:lineRule="auto"/>
        <w:ind w:left="576" w:hanging="259"/>
        <w:rPr>
          <w:sz w:val="26"/>
          <w:szCs w:val="26"/>
        </w:rPr>
      </w:pPr>
      <w:r>
        <w:rPr>
          <w:sz w:val="26"/>
          <w:szCs w:val="26"/>
        </w:rPr>
        <w:t>•</w:t>
      </w:r>
      <w:r>
        <w:rPr>
          <w:sz w:val="26"/>
          <w:szCs w:val="26"/>
        </w:rPr>
        <w:tab/>
        <w:t>Persistent visit-context sticky across SOAP and Pre-sign</w:t>
      </w:r>
    </w:p>
    <w:p w14:paraId="4144D1CD" w14:textId="77777777" w:rsidR="00A74E51" w:rsidRPr="003B5854" w:rsidRDefault="00913B08">
      <w:pPr>
        <w:tabs>
          <w:tab w:val="left" w:pos="576"/>
        </w:tabs>
        <w:spacing w:before="92" w:after="92" w:line="283" w:lineRule="auto"/>
        <w:ind w:left="576" w:hanging="259"/>
        <w:rPr>
          <w:sz w:val="26"/>
          <w:szCs w:val="26"/>
        </w:rPr>
      </w:pPr>
      <w:r>
        <w:rPr>
          <w:sz w:val="26"/>
          <w:szCs w:val="26"/>
        </w:rPr>
        <w:t>•</w:t>
      </w:r>
      <w:r>
        <w:rPr>
          <w:sz w:val="26"/>
          <w:szCs w:val="26"/>
        </w:rPr>
        <w:tab/>
        <w:t>Keyboard shortcuts, clearer aria-live announcements, and remaining-section feedback on the disabled Sign control</w:t>
      </w:r>
    </w:p>
    <w:p w14:paraId="08317E7E" w14:textId="77777777" w:rsidR="00A74E51" w:rsidRPr="003B5854" w:rsidRDefault="00913B08">
      <w:pPr>
        <w:spacing w:before="184" w:after="184"/>
        <w:rPr>
          <w:sz w:val="26"/>
          <w:szCs w:val="26"/>
        </w:rPr>
      </w:pPr>
      <w:r>
        <w:rPr>
          <w:sz w:val="26"/>
          <w:szCs w:val="26"/>
        </w:rPr>
        <w:t>Full before/after detail is documented on the Lumen Chart case study site.</w:t>
      </w:r>
    </w:p>
    <w:p w14:paraId="6DCE5328" w14:textId="77777777" w:rsidR="00A74E51" w:rsidRDefault="00913B08">
      <w:pPr>
        <w:spacing w:before="92" w:after="0"/>
      </w:pPr>
      <w:r>
        <w:rPr>
          <w:color w:val="6B7280"/>
          <w:sz w:val="22"/>
        </w:rPr>
        <w:t>Prepared for Foster Healthcare UX · Lumen Chart Case Study · July 2026</w:t>
      </w:r>
    </w:p>
    <w:sectPr w:rsidR="00A74E51" w:rsidSect="003B5854">
      <w:pgSz w:w="12240" w:h="15840"/>
      <w:pgMar w:top="108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64460A" w14:textId="77777777" w:rsidR="00410B49" w:rsidRDefault="00410B49" w:rsidP="003B5854">
      <w:pPr>
        <w:spacing w:after="0" w:line="240" w:lineRule="auto"/>
      </w:pPr>
      <w:r>
        <w:separator/>
      </w:r>
    </w:p>
  </w:endnote>
  <w:endnote w:type="continuationSeparator" w:id="0">
    <w:p w14:paraId="3CD16929" w14:textId="77777777" w:rsidR="00410B49" w:rsidRDefault="00410B49" w:rsidP="003B58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87A4D1" w14:textId="77777777" w:rsidR="00410B49" w:rsidRDefault="00410B49" w:rsidP="003B5854">
      <w:pPr>
        <w:spacing w:after="0" w:line="240" w:lineRule="auto"/>
      </w:pPr>
      <w:r>
        <w:separator/>
      </w:r>
    </w:p>
  </w:footnote>
  <w:footnote w:type="continuationSeparator" w:id="0">
    <w:p w14:paraId="1FB99E1C" w14:textId="77777777" w:rsidR="00410B49" w:rsidRDefault="00410B49" w:rsidP="003B58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9F42B0"/>
    <w:multiLevelType w:val="hybridMultilevel"/>
    <w:tmpl w:val="2ECCCEA8"/>
    <w:lvl w:ilvl="0" w:tplc="9730A212">
      <w:start w:val="4"/>
      <w:numFmt w:val="lowerLetter"/>
      <w:lvlText w:val="%1."/>
      <w:lvlJc w:val="left"/>
      <w:pPr>
        <w:ind w:left="720" w:hanging="360"/>
      </w:pPr>
      <w:rPr>
        <w:rFonts w:hint="default"/>
        <w:b/>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9293E9D"/>
    <w:multiLevelType w:val="hybridMultilevel"/>
    <w:tmpl w:val="8E888EE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B897AC8"/>
    <w:multiLevelType w:val="hybridMultilevel"/>
    <w:tmpl w:val="7B34D51A"/>
    <w:lvl w:ilvl="0" w:tplc="DB4EDF2E">
      <w:start w:val="1"/>
      <w:numFmt w:val="lowerLetter"/>
      <w:lvlText w:val="%1."/>
      <w:lvlJc w:val="left"/>
      <w:pPr>
        <w:ind w:left="720" w:hanging="360"/>
      </w:pPr>
      <w:rPr>
        <w:rFonts w:ascii="Calibri" w:eastAsia="Calibri" w:hAnsi="Calibri" w:cs="Calibri"/>
        <w:b/>
        <w:sz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95887975">
    <w:abstractNumId w:val="8"/>
  </w:num>
  <w:num w:numId="2" w16cid:durableId="1610161945">
    <w:abstractNumId w:val="6"/>
  </w:num>
  <w:num w:numId="3" w16cid:durableId="1522664569">
    <w:abstractNumId w:val="5"/>
  </w:num>
  <w:num w:numId="4" w16cid:durableId="1536697039">
    <w:abstractNumId w:val="4"/>
  </w:num>
  <w:num w:numId="5" w16cid:durableId="389692925">
    <w:abstractNumId w:val="7"/>
  </w:num>
  <w:num w:numId="6" w16cid:durableId="1593468805">
    <w:abstractNumId w:val="3"/>
  </w:num>
  <w:num w:numId="7" w16cid:durableId="1384787005">
    <w:abstractNumId w:val="2"/>
  </w:num>
  <w:num w:numId="8" w16cid:durableId="554002974">
    <w:abstractNumId w:val="1"/>
  </w:num>
  <w:num w:numId="9" w16cid:durableId="934244602">
    <w:abstractNumId w:val="0"/>
  </w:num>
  <w:num w:numId="10" w16cid:durableId="28843775">
    <w:abstractNumId w:val="11"/>
  </w:num>
  <w:num w:numId="11" w16cid:durableId="433356295">
    <w:abstractNumId w:val="9"/>
  </w:num>
  <w:num w:numId="12" w16cid:durableId="120378433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B5854"/>
    <w:rsid w:val="00410B49"/>
    <w:rsid w:val="00671FC0"/>
    <w:rsid w:val="00777A83"/>
    <w:rsid w:val="00913B08"/>
    <w:rsid w:val="00A74E51"/>
    <w:rsid w:val="00AA1D8D"/>
    <w:rsid w:val="00B47730"/>
    <w:rsid w:val="00CB0664"/>
    <w:rsid w:val="00F26EEB"/>
    <w:rsid w:val="00F82D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3585E0"/>
  <w14:defaultImageDpi w14:val="300"/>
  <w15:docId w15:val="{33097453-F261-4494-820D-21CFBBBA4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cs="Calibri"/>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877</Words>
  <Characters>5004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Jessamyn Smallenburg</cp:lastModifiedBy>
  <cp:revision>2</cp:revision>
  <dcterms:created xsi:type="dcterms:W3CDTF">2026-08-13T12:21:00Z</dcterms:created>
  <dcterms:modified xsi:type="dcterms:W3CDTF">2026-08-13T12:21:00Z</dcterms:modified>
  <cp:category/>
</cp:coreProperties>
</file>