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414C" w14:textId="11F47EDB" w:rsidR="00A41AD4" w:rsidRDefault="00D10748" w:rsidP="00D10748">
      <w:pPr>
        <w:spacing w:after="0"/>
      </w:pPr>
      <w:r>
        <w:t>Jess Monnier</w:t>
      </w:r>
    </w:p>
    <w:p w14:paraId="5B6BC63F" w14:textId="1D475759" w:rsidR="00D10748" w:rsidRDefault="00D10748" w:rsidP="00D10748">
      <w:pPr>
        <w:spacing w:after="0"/>
      </w:pPr>
      <w:r>
        <w:t>CSD-</w:t>
      </w:r>
      <w:r w:rsidR="00795038">
        <w:t>380</w:t>
      </w:r>
      <w:r>
        <w:t xml:space="preserve"> Assignment</w:t>
      </w:r>
      <w:r w:rsidR="00795038">
        <w:t xml:space="preserve"> 12.2</w:t>
      </w:r>
    </w:p>
    <w:p w14:paraId="4A6E495A" w14:textId="7117060F" w:rsidR="00D10748" w:rsidRDefault="00D10748">
      <w:r>
        <w:t>12 October 2025</w:t>
      </w:r>
    </w:p>
    <w:p w14:paraId="73E53B85" w14:textId="3447335C" w:rsidR="00D10748" w:rsidRPr="00D10748" w:rsidRDefault="00795038" w:rsidP="00D10748">
      <w:pPr>
        <w:jc w:val="center"/>
        <w:rPr>
          <w:b/>
          <w:bCs/>
          <w:sz w:val="28"/>
          <w:szCs w:val="28"/>
        </w:rPr>
      </w:pPr>
      <w:r>
        <w:rPr>
          <w:b/>
          <w:bCs/>
          <w:sz w:val="28"/>
          <w:szCs w:val="28"/>
        </w:rPr>
        <w:t>A Tale of Two Case Studies</w:t>
      </w:r>
    </w:p>
    <w:p w14:paraId="2F32736A" w14:textId="77777777" w:rsidR="00700B11" w:rsidRDefault="004C566A" w:rsidP="004C566A">
      <w:r>
        <w:t>Chapter 23 of the DevOps Handbook outlines a number of case studies, each with their own key takeaways to help DevOps teams take a more effective approach in their processes. As we plow forward in this degree program, I am struck increasingly often by the way that the things we learn weave together; for instance, some of the lessons learned in these case studies felt remarkably similar to the coding standards I covered for my assignment in our other class.</w:t>
      </w:r>
      <w:r w:rsidR="00700B11">
        <w:t xml:space="preserve"> Although proving compliance is technically a separate topic from coding standards, it is easy to see how they work together; after all, if an organization does not have proper coding standards in place or has team members that fail to follow them, it will become increasingly difficult to fully comply with legal obligations.</w:t>
      </w:r>
    </w:p>
    <w:p w14:paraId="3BEF3E57" w14:textId="478FF82D" w:rsidR="004C566A" w:rsidRPr="004C566A" w:rsidRDefault="00700B11" w:rsidP="004C566A">
      <w:r>
        <w:t>Finding these connections</w:t>
      </w:r>
      <w:r w:rsidR="004C566A">
        <w:t xml:space="preserve"> should be no surprise since our purpose in taking this course is to become effective programmers and software developers, but I enjoy seeing the parallels converge more and more all the time.</w:t>
      </w:r>
      <w:r>
        <w:t xml:space="preserve"> </w:t>
      </w:r>
      <w:r w:rsidR="004C566A">
        <w:t>With that said, I will move on to summarize two of the case studies from the chapter and the lessons to be learned from each.</w:t>
      </w:r>
    </w:p>
    <w:p w14:paraId="58B30375" w14:textId="34EEB0E7" w:rsidR="00D10057" w:rsidRDefault="004C566A" w:rsidP="004C566A">
      <w:r>
        <w:rPr>
          <w:b/>
          <w:bCs/>
        </w:rPr>
        <w:t>Proving Compliance in Regulated Environments (2015)</w:t>
      </w:r>
    </w:p>
    <w:p w14:paraId="26480B85" w14:textId="51CAE4D0" w:rsidR="004C566A" w:rsidRDefault="00700B11" w:rsidP="004C566A">
      <w:r>
        <w:t>This case study demonstrated the importance of modernizing and automating processes for maintaining and proving compliance with outside regulations. As the needs of customers and the capabilities of technology evolve over time, older tools such as screenshots and manual sampling lose their usefulness for tasks such as auditing and monitoring. It also showed that it can be tricky to interpret regulatory texts like HIPAA into specific technical and monitoring requirements. It requires analysis of legal language to identify required actions, controls, and evidence. However, once these requirements are deciphered, tools like CI/CD pipelines, version control systems, and automated monitoring tools can help ensure they are met.</w:t>
      </w:r>
    </w:p>
    <w:p w14:paraId="22E9058A" w14:textId="14F8D4F4" w:rsidR="00700B11" w:rsidRDefault="00700B11" w:rsidP="004C566A">
      <w:r w:rsidRPr="00700B11">
        <w:rPr>
          <w:i/>
          <w:iCs/>
        </w:rPr>
        <w:t>Key Lessons Learned</w:t>
      </w:r>
      <w:r>
        <w:t>:</w:t>
      </w:r>
    </w:p>
    <w:p w14:paraId="22E90478" w14:textId="04D8EF68" w:rsidR="00700B11" w:rsidRDefault="00700B11" w:rsidP="00700B11">
      <w:pPr>
        <w:pStyle w:val="ListParagraph"/>
        <w:numPr>
          <w:ilvl w:val="0"/>
          <w:numId w:val="1"/>
        </w:numPr>
      </w:pPr>
      <w:r>
        <w:t>Auditors must evolve as technology does</w:t>
      </w:r>
    </w:p>
    <w:p w14:paraId="6F7E1BB2" w14:textId="6E7FDC30" w:rsidR="00700B11" w:rsidRDefault="00700B11" w:rsidP="00700B11">
      <w:pPr>
        <w:pStyle w:val="ListParagraph"/>
        <w:numPr>
          <w:ilvl w:val="0"/>
          <w:numId w:val="1"/>
        </w:numPr>
      </w:pPr>
      <w:r>
        <w:t>Compliance is a shared responsibility requiring collaboration among teams</w:t>
      </w:r>
    </w:p>
    <w:p w14:paraId="390776FD" w14:textId="6A80AAFC" w:rsidR="00700B11" w:rsidRDefault="00700B11" w:rsidP="00700B11">
      <w:pPr>
        <w:pStyle w:val="ListParagraph"/>
        <w:numPr>
          <w:ilvl w:val="0"/>
          <w:numId w:val="1"/>
        </w:numPr>
      </w:pPr>
      <w:r>
        <w:t>Automation improves auditability</w:t>
      </w:r>
    </w:p>
    <w:p w14:paraId="75C0E330" w14:textId="2C8319D4" w:rsidR="00700B11" w:rsidRDefault="00700B11" w:rsidP="00700B11">
      <w:pPr>
        <w:pStyle w:val="ListParagraph"/>
        <w:numPr>
          <w:ilvl w:val="0"/>
          <w:numId w:val="1"/>
        </w:numPr>
      </w:pPr>
      <w:r>
        <w:t xml:space="preserve">Documentation bridges important </w:t>
      </w:r>
      <w:r w:rsidR="00E40DE5">
        <w:t>gaps by recording how controls map to regulatory requirements</w:t>
      </w:r>
    </w:p>
    <w:p w14:paraId="7AFEA3F7" w14:textId="285FD9A6" w:rsidR="00E40DE5" w:rsidRDefault="00E40DE5" w:rsidP="00700B11">
      <w:pPr>
        <w:pStyle w:val="ListParagraph"/>
        <w:numPr>
          <w:ilvl w:val="0"/>
          <w:numId w:val="1"/>
        </w:numPr>
      </w:pPr>
      <w:r>
        <w:t>Choosing appropriate frameworks and toolkits is essential</w:t>
      </w:r>
    </w:p>
    <w:p w14:paraId="6ED6703D" w14:textId="420F0310" w:rsidR="00E40DE5" w:rsidRDefault="00E40DE5" w:rsidP="00E40DE5">
      <w:r>
        <w:rPr>
          <w:b/>
          <w:bCs/>
        </w:rPr>
        <w:lastRenderedPageBreak/>
        <w:t>Relying on Production Telemetry for ATM Systems (2013)</w:t>
      </w:r>
    </w:p>
    <w:p w14:paraId="607AB3D3" w14:textId="61ADA82D" w:rsidR="00E40DE5" w:rsidRDefault="00E40DE5" w:rsidP="00E40DE5">
      <w:r>
        <w:t>This case study used the example of ATM fraud via a backdoor planted by a developer to demonstrate that code reviews alone are not enough to detect fraud. Sometimes traditional security controls like separation of duties and change approval processes can miss important vulnerabilities, particularly if they are intentionally and stealthily placed by a malicious actor on the team. Other methods are needed to help detect situations like these, and one important resource that can help is production telemetry. In this case, telemetry showed that ATMs were entering maintenance mode at odd times.</w:t>
      </w:r>
    </w:p>
    <w:p w14:paraId="18E3BA72" w14:textId="700AD1E3" w:rsidR="00E40DE5" w:rsidRDefault="00E40DE5" w:rsidP="00E40DE5">
      <w:r>
        <w:rPr>
          <w:i/>
          <w:iCs/>
        </w:rPr>
        <w:t>Key Lessons Learned</w:t>
      </w:r>
      <w:r>
        <w:t>:</w:t>
      </w:r>
    </w:p>
    <w:p w14:paraId="58D7A7DD" w14:textId="5FF6B557" w:rsidR="00E40DE5" w:rsidRDefault="00E40DE5" w:rsidP="00E40DE5">
      <w:pPr>
        <w:pStyle w:val="ListParagraph"/>
        <w:numPr>
          <w:ilvl w:val="0"/>
          <w:numId w:val="2"/>
        </w:numPr>
      </w:pPr>
      <w:r>
        <w:t>Production monitoring (such as real-time telemetry) is crucial for security</w:t>
      </w:r>
    </w:p>
    <w:p w14:paraId="542A7F77" w14:textId="6294E4BF" w:rsidR="00E40DE5" w:rsidRDefault="00E40DE5" w:rsidP="00E40DE5">
      <w:pPr>
        <w:pStyle w:val="ListParagraph"/>
        <w:numPr>
          <w:ilvl w:val="0"/>
          <w:numId w:val="2"/>
        </w:numPr>
      </w:pPr>
      <w:r>
        <w:t>Code reviews and separation of duties aren’t foolproof</w:t>
      </w:r>
    </w:p>
    <w:p w14:paraId="13D293A7" w14:textId="20D3060F" w:rsidR="00E40DE5" w:rsidRDefault="00E40DE5" w:rsidP="00E40DE5">
      <w:pPr>
        <w:pStyle w:val="ListParagraph"/>
        <w:numPr>
          <w:ilvl w:val="0"/>
          <w:numId w:val="2"/>
        </w:numPr>
      </w:pPr>
      <w:r>
        <w:t>Behavioral anomalies can reveal security incidents</w:t>
      </w:r>
    </w:p>
    <w:p w14:paraId="37E099A2" w14:textId="692B4255" w:rsidR="00E40DE5" w:rsidRDefault="00E40DE5" w:rsidP="00E40DE5">
      <w:pPr>
        <w:pStyle w:val="ListParagraph"/>
        <w:numPr>
          <w:ilvl w:val="0"/>
          <w:numId w:val="2"/>
        </w:numPr>
      </w:pPr>
      <w:r>
        <w:t>Expand on traditional audit expectations to include dynamic operational controls</w:t>
      </w:r>
    </w:p>
    <w:p w14:paraId="038210D3" w14:textId="4611C15B" w:rsidR="00E40DE5" w:rsidRDefault="00E40DE5" w:rsidP="00E40DE5">
      <w:pPr>
        <w:pStyle w:val="ListParagraph"/>
        <w:numPr>
          <w:ilvl w:val="0"/>
          <w:numId w:val="2"/>
        </w:numPr>
      </w:pPr>
      <w:r>
        <w:t>Faster detection means faster response, and real-time telemetry is key to faster detection</w:t>
      </w:r>
    </w:p>
    <w:p w14:paraId="6B221D50" w14:textId="2E3783FA" w:rsidR="00401A4D" w:rsidRDefault="00401A4D" w:rsidP="00401A4D">
      <w:r>
        <w:rPr>
          <w:b/>
          <w:bCs/>
        </w:rPr>
        <w:t>Conclusion</w:t>
      </w:r>
    </w:p>
    <w:p w14:paraId="73473658" w14:textId="607B204D" w:rsidR="00401A4D" w:rsidRPr="00401A4D" w:rsidRDefault="00401A4D" w:rsidP="00401A4D">
      <w:r>
        <w:t>Although these case studies cover somewhat different topics, they both serve to highlight the importance of DevOps practices evolving to keep up with changing technology and capabilities. By adopting practices like automated monitoring and real-time telemetry, security threats and failures to comply with regulations can be detected and corrected quickly. They also highlight the importance of coding practices such as maintaining up-to-date and clear documentation, which can help tie errors and oddities to their downstream impacts.</w:t>
      </w:r>
    </w:p>
    <w:sectPr w:rsidR="00401A4D" w:rsidRPr="00401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34AD1"/>
    <w:multiLevelType w:val="hybridMultilevel"/>
    <w:tmpl w:val="D0E8F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3C12E6"/>
    <w:multiLevelType w:val="hybridMultilevel"/>
    <w:tmpl w:val="592E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7893760">
    <w:abstractNumId w:val="1"/>
  </w:num>
  <w:num w:numId="2" w16cid:durableId="64100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48"/>
    <w:rsid w:val="00167D91"/>
    <w:rsid w:val="00401A4D"/>
    <w:rsid w:val="004C566A"/>
    <w:rsid w:val="004E1754"/>
    <w:rsid w:val="00606580"/>
    <w:rsid w:val="00700B11"/>
    <w:rsid w:val="00795038"/>
    <w:rsid w:val="00A41AD4"/>
    <w:rsid w:val="00A87753"/>
    <w:rsid w:val="00BA36C4"/>
    <w:rsid w:val="00D10057"/>
    <w:rsid w:val="00D10748"/>
    <w:rsid w:val="00D2243E"/>
    <w:rsid w:val="00D24CA3"/>
    <w:rsid w:val="00E40DE5"/>
    <w:rsid w:val="00EB1EBF"/>
    <w:rsid w:val="00F540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E78F9"/>
  <w15:chartTrackingRefBased/>
  <w15:docId w15:val="{6B483EEB-4F66-48E9-86EB-A7DCAA51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748"/>
    <w:rPr>
      <w:rFonts w:eastAsiaTheme="majorEastAsia" w:cstheme="majorBidi"/>
      <w:color w:val="272727" w:themeColor="text1" w:themeTint="D8"/>
    </w:rPr>
  </w:style>
  <w:style w:type="paragraph" w:styleId="Title">
    <w:name w:val="Title"/>
    <w:basedOn w:val="Normal"/>
    <w:next w:val="Normal"/>
    <w:link w:val="TitleChar"/>
    <w:uiPriority w:val="10"/>
    <w:qFormat/>
    <w:rsid w:val="00D1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748"/>
    <w:pPr>
      <w:spacing w:before="160"/>
      <w:jc w:val="center"/>
    </w:pPr>
    <w:rPr>
      <w:i/>
      <w:iCs/>
      <w:color w:val="404040" w:themeColor="text1" w:themeTint="BF"/>
    </w:rPr>
  </w:style>
  <w:style w:type="character" w:customStyle="1" w:styleId="QuoteChar">
    <w:name w:val="Quote Char"/>
    <w:basedOn w:val="DefaultParagraphFont"/>
    <w:link w:val="Quote"/>
    <w:uiPriority w:val="29"/>
    <w:rsid w:val="00D10748"/>
    <w:rPr>
      <w:i/>
      <w:iCs/>
      <w:color w:val="404040" w:themeColor="text1" w:themeTint="BF"/>
    </w:rPr>
  </w:style>
  <w:style w:type="paragraph" w:styleId="ListParagraph">
    <w:name w:val="List Paragraph"/>
    <w:basedOn w:val="Normal"/>
    <w:uiPriority w:val="34"/>
    <w:qFormat/>
    <w:rsid w:val="00D10748"/>
    <w:pPr>
      <w:ind w:left="720"/>
      <w:contextualSpacing/>
    </w:pPr>
  </w:style>
  <w:style w:type="character" w:styleId="IntenseEmphasis">
    <w:name w:val="Intense Emphasis"/>
    <w:basedOn w:val="DefaultParagraphFont"/>
    <w:uiPriority w:val="21"/>
    <w:qFormat/>
    <w:rsid w:val="00D10748"/>
    <w:rPr>
      <w:i/>
      <w:iCs/>
      <w:color w:val="0F4761" w:themeColor="accent1" w:themeShade="BF"/>
    </w:rPr>
  </w:style>
  <w:style w:type="paragraph" w:styleId="IntenseQuote">
    <w:name w:val="Intense Quote"/>
    <w:basedOn w:val="Normal"/>
    <w:next w:val="Normal"/>
    <w:link w:val="IntenseQuoteChar"/>
    <w:uiPriority w:val="30"/>
    <w:qFormat/>
    <w:rsid w:val="00D10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748"/>
    <w:rPr>
      <w:i/>
      <w:iCs/>
      <w:color w:val="0F4761" w:themeColor="accent1" w:themeShade="BF"/>
    </w:rPr>
  </w:style>
  <w:style w:type="character" w:styleId="IntenseReference">
    <w:name w:val="Intense Reference"/>
    <w:basedOn w:val="DefaultParagraphFont"/>
    <w:uiPriority w:val="32"/>
    <w:qFormat/>
    <w:rsid w:val="00D10748"/>
    <w:rPr>
      <w:b/>
      <w:bCs/>
      <w:smallCaps/>
      <w:color w:val="0F4761" w:themeColor="accent1" w:themeShade="BF"/>
      <w:spacing w:val="5"/>
    </w:rPr>
  </w:style>
  <w:style w:type="paragraph" w:styleId="Date">
    <w:name w:val="Date"/>
    <w:basedOn w:val="Normal"/>
    <w:next w:val="Normal"/>
    <w:link w:val="DateChar"/>
    <w:uiPriority w:val="99"/>
    <w:semiHidden/>
    <w:unhideWhenUsed/>
    <w:rsid w:val="00D10748"/>
  </w:style>
  <w:style w:type="character" w:customStyle="1" w:styleId="DateChar">
    <w:name w:val="Date Char"/>
    <w:basedOn w:val="DefaultParagraphFont"/>
    <w:link w:val="Date"/>
    <w:uiPriority w:val="99"/>
    <w:semiHidden/>
    <w:rsid w:val="00D10748"/>
  </w:style>
  <w:style w:type="character" w:styleId="Hyperlink">
    <w:name w:val="Hyperlink"/>
    <w:basedOn w:val="DefaultParagraphFont"/>
    <w:uiPriority w:val="99"/>
    <w:unhideWhenUsed/>
    <w:rsid w:val="004E1754"/>
    <w:rPr>
      <w:color w:val="467886" w:themeColor="hyperlink"/>
      <w:u w:val="single"/>
    </w:rPr>
  </w:style>
  <w:style w:type="character" w:styleId="UnresolvedMention">
    <w:name w:val="Unresolved Mention"/>
    <w:basedOn w:val="DefaultParagraphFont"/>
    <w:uiPriority w:val="99"/>
    <w:semiHidden/>
    <w:unhideWhenUsed/>
    <w:rsid w:val="004E1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Monnier</dc:creator>
  <cp:keywords/>
  <dc:description/>
  <cp:lastModifiedBy>Jess Monnier</cp:lastModifiedBy>
  <cp:revision>4</cp:revision>
  <dcterms:created xsi:type="dcterms:W3CDTF">2025-10-13T01:21:00Z</dcterms:created>
  <dcterms:modified xsi:type="dcterms:W3CDTF">2025-10-13T02:04:00Z</dcterms:modified>
</cp:coreProperties>
</file>