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146B6" w:rsidRPr="00B146B6" w:rsidRDefault="00B146B6" w:rsidP="00B146B6">
      <w:r w:rsidRPr="00B146B6">
        <w:t>To calculate Debt-to-Income (DTI) ratio, divide total monthly debt payments by your gross monthly income. </w:t>
      </w:r>
    </w:p>
    <w:p w:rsidR="00B146B6" w:rsidRDefault="00B146B6" w:rsidP="00B146B6">
      <w:r w:rsidRPr="00B146B6">
        <w:t>The Formula</w:t>
      </w:r>
    </w:p>
    <w:p w:rsidR="00B146B6" w:rsidRPr="00B146B6" w:rsidRDefault="00B146B6" w:rsidP="00B146B6">
      <w:r>
        <w:t>DTI Ratio = (Total monthly debt payments / Gross monthly income) x 100</w:t>
      </w:r>
    </w:p>
    <w:p w:rsidR="00B146B6" w:rsidRPr="00B146B6" w:rsidRDefault="00B146B6" w:rsidP="00B146B6"/>
    <w:p w:rsidR="00B146B6" w:rsidRPr="00B146B6" w:rsidRDefault="00B146B6" w:rsidP="00B146B6">
      <w:r w:rsidRPr="00B146B6">
        <w:t>1. Identify Your Total Monthly Debt</w:t>
      </w:r>
    </w:p>
    <w:p w:rsidR="00B146B6" w:rsidRPr="00B146B6" w:rsidRDefault="00B146B6" w:rsidP="00B146B6">
      <w:pPr>
        <w:pStyle w:val="ListParagraph"/>
        <w:numPr>
          <w:ilvl w:val="0"/>
          <w:numId w:val="9"/>
        </w:numPr>
      </w:pPr>
      <w:r w:rsidRPr="00B146B6">
        <w:t>Sum all recurring, required monthly payments. </w:t>
      </w:r>
    </w:p>
    <w:p w:rsidR="00B146B6" w:rsidRPr="00B146B6" w:rsidRDefault="00B146B6" w:rsidP="00B146B6">
      <w:pPr>
        <w:pStyle w:val="ListParagraph"/>
        <w:numPr>
          <w:ilvl w:val="0"/>
          <w:numId w:val="9"/>
        </w:numPr>
      </w:pPr>
      <w:r w:rsidRPr="00B146B6">
        <w:t>Include: Rent or mortgage payments, auto loans, student loans, personal loans, and minimum credit card payments.</w:t>
      </w:r>
    </w:p>
    <w:p w:rsidR="00B146B6" w:rsidRPr="00B146B6" w:rsidRDefault="00B146B6" w:rsidP="00B146B6">
      <w:r w:rsidRPr="00B146B6">
        <w:t>Exclude: Living expenses like utilities, groceries, health insurance, and entertainment. </w:t>
      </w:r>
    </w:p>
    <w:p w:rsidR="00B146B6" w:rsidRPr="00B146B6" w:rsidRDefault="00B146B6" w:rsidP="00B146B6">
      <w:r w:rsidRPr="00B146B6">
        <w:t>2. Determine Your Gross Monthly Income</w:t>
      </w:r>
    </w:p>
    <w:p w:rsidR="00B146B6" w:rsidRPr="00B146B6" w:rsidRDefault="00B146B6" w:rsidP="00B146B6">
      <w:pPr>
        <w:pStyle w:val="ListParagraph"/>
        <w:numPr>
          <w:ilvl w:val="0"/>
          <w:numId w:val="10"/>
        </w:numPr>
      </w:pPr>
      <w:r w:rsidRPr="00B146B6">
        <w:t>Use total income before taxes and deductions are taken out. </w:t>
      </w:r>
    </w:p>
    <w:p w:rsidR="00B146B6" w:rsidRPr="00B146B6" w:rsidRDefault="00B146B6" w:rsidP="00B146B6">
      <w:pPr>
        <w:pStyle w:val="ListParagraph"/>
        <w:numPr>
          <w:ilvl w:val="0"/>
          <w:numId w:val="10"/>
        </w:numPr>
      </w:pPr>
      <w:r w:rsidRPr="00B146B6">
        <w:t>W-2 Employees: Divide your annual salary by 12.</w:t>
      </w:r>
    </w:p>
    <w:p w:rsidR="00B146B6" w:rsidRPr="00B146B6" w:rsidRDefault="00B146B6" w:rsidP="00B146B6">
      <w:pPr>
        <w:pStyle w:val="ListParagraph"/>
        <w:numPr>
          <w:ilvl w:val="0"/>
          <w:numId w:val="10"/>
        </w:numPr>
      </w:pPr>
      <w:r w:rsidRPr="00B146B6">
        <w:t>Other Sources: Include bonuses, commissions, tips, and verifiable rental income. </w:t>
      </w:r>
    </w:p>
    <w:p w:rsidR="00B146B6" w:rsidRDefault="00B146B6" w:rsidP="00B146B6">
      <w:r w:rsidRPr="00B146B6">
        <w:t>3. Calculate the Ratio</w:t>
      </w:r>
    </w:p>
    <w:p w:rsidR="00B146B6" w:rsidRDefault="00B146B6" w:rsidP="00B146B6">
      <w:pPr>
        <w:pStyle w:val="ListParagraph"/>
        <w:numPr>
          <w:ilvl w:val="0"/>
          <w:numId w:val="11"/>
        </w:numPr>
      </w:pPr>
      <w:r>
        <w:t>1,500 / 5,000 = 0.30</w:t>
      </w:r>
    </w:p>
    <w:p w:rsidR="00B146B6" w:rsidRPr="00B146B6" w:rsidRDefault="00B146B6" w:rsidP="00B146B6">
      <w:pPr>
        <w:pStyle w:val="ListParagraph"/>
        <w:numPr>
          <w:ilvl w:val="0"/>
          <w:numId w:val="11"/>
        </w:numPr>
      </w:pPr>
      <w:r>
        <w:t>0.30 x 100 = 30%</w:t>
      </w:r>
    </w:p>
    <w:p w:rsidR="00B146B6" w:rsidRPr="00B146B6" w:rsidRDefault="00B146B6" w:rsidP="00B146B6">
      <w:r w:rsidRPr="00B146B6">
        <w:t>Divide your total debt by your gross income. For example, if you pay $1,500 in total monthly debt and earn $5,000 gross per month: </w:t>
      </w:r>
    </w:p>
    <w:p w:rsidR="00B146B6" w:rsidRPr="00B146B6" w:rsidRDefault="00B146B6" w:rsidP="00B146B6">
      <w:r w:rsidRPr="00B146B6">
        <w:t>Types of DTI Ratios</w:t>
      </w:r>
    </w:p>
    <w:p w:rsidR="00B146B6" w:rsidRPr="00B146B6" w:rsidRDefault="00B146B6" w:rsidP="00B146B6">
      <w:r w:rsidRPr="00B146B6">
        <w:t>Lenders, particularly for mortgages, may look at two specific versions: </w:t>
      </w:r>
    </w:p>
    <w:p w:rsidR="00B146B6" w:rsidRPr="00B146B6" w:rsidRDefault="00B146B6" w:rsidP="00B146B6">
      <w:pPr>
        <w:pStyle w:val="ListParagraph"/>
        <w:numPr>
          <w:ilvl w:val="0"/>
          <w:numId w:val="12"/>
        </w:numPr>
      </w:pPr>
      <w:r w:rsidRPr="00B146B6">
        <w:t>Front-End DTI: Only includes housing expenses (mortgage/rent, taxes, insurance).</w:t>
      </w:r>
    </w:p>
    <w:p w:rsidR="00B146B6" w:rsidRPr="00B146B6" w:rsidRDefault="00B146B6" w:rsidP="00B146B6">
      <w:pPr>
        <w:pStyle w:val="ListParagraph"/>
        <w:numPr>
          <w:ilvl w:val="0"/>
          <w:numId w:val="12"/>
        </w:numPr>
      </w:pPr>
      <w:r w:rsidRPr="00B146B6">
        <w:t>Back-End DTI: Includes housing costs plus all other monthly debt obligations like car and student loans. </w:t>
      </w:r>
    </w:p>
    <w:p w:rsidR="00B146B6" w:rsidRPr="00B146B6" w:rsidRDefault="00B146B6" w:rsidP="00B146B6">
      <w:r w:rsidRPr="00B146B6">
        <w:t>Target Ratios</w:t>
      </w:r>
    </w:p>
    <w:p w:rsidR="00B146B6" w:rsidRPr="00B146B6" w:rsidRDefault="00B146B6" w:rsidP="00B146B6">
      <w:pPr>
        <w:pStyle w:val="ListParagraph"/>
        <w:numPr>
          <w:ilvl w:val="0"/>
          <w:numId w:val="13"/>
        </w:numPr>
      </w:pPr>
      <w:r w:rsidRPr="00B146B6">
        <w:t>36% or less: Generally considered "good" or manageable by most lenders.</w:t>
      </w:r>
    </w:p>
    <w:p w:rsidR="00B146B6" w:rsidRPr="00B146B6" w:rsidRDefault="00B146B6" w:rsidP="00B146B6">
      <w:pPr>
        <w:pStyle w:val="ListParagraph"/>
        <w:numPr>
          <w:ilvl w:val="0"/>
          <w:numId w:val="13"/>
        </w:numPr>
      </w:pPr>
      <w:r w:rsidRPr="00B146B6">
        <w:t>43%: Often the maximum ratio for qualifying for a Qualified Mortgage.</w:t>
      </w:r>
    </w:p>
    <w:p w:rsidR="00B146B6" w:rsidRPr="00B146B6" w:rsidRDefault="00B146B6" w:rsidP="00B146B6">
      <w:pPr>
        <w:pStyle w:val="ListParagraph"/>
        <w:numPr>
          <w:ilvl w:val="0"/>
          <w:numId w:val="13"/>
        </w:numPr>
      </w:pPr>
      <w:r w:rsidRPr="00B146B6">
        <w:t>50% or more: Considered a high-risk indicator. </w:t>
      </w:r>
    </w:p>
    <w:p w:rsidR="00B146B6" w:rsidRPr="00B146B6" w:rsidRDefault="00B146B6" w:rsidP="00B146B6"/>
    <w:p w:rsidR="00B146B6" w:rsidRPr="00B146B6" w:rsidRDefault="00B146B6" w:rsidP="00B146B6">
      <w:r w:rsidRPr="00B146B6">
        <w:lastRenderedPageBreak/>
        <w:t>Key International Differences</w:t>
      </w:r>
    </w:p>
    <w:p w:rsidR="00B146B6" w:rsidRPr="00B146B6" w:rsidRDefault="00B146B6" w:rsidP="00B146B6">
      <w:r w:rsidRPr="00B146B6">
        <w:t>Gross vs. Net Income:</w:t>
      </w:r>
    </w:p>
    <w:p w:rsidR="00B146B6" w:rsidRPr="00B146B6" w:rsidRDefault="00B146B6" w:rsidP="00B146B6">
      <w:r w:rsidRPr="00B146B6">
        <w:t>United States: Lenders typically use gross monthly income (before taxes).</w:t>
      </w:r>
    </w:p>
    <w:p w:rsidR="00B146B6" w:rsidRPr="00B146B6" w:rsidRDefault="00B146B6" w:rsidP="00B146B6">
      <w:r w:rsidRPr="00B146B6">
        <w:t>Europe/Others: Some countries, like France or Spain, may focus on net income (take-home pay after taxes) when setting limits, as it more accurately reflects actual repayment capacity.</w:t>
      </w:r>
    </w:p>
    <w:p w:rsidR="00B146B6" w:rsidRPr="00B146B6" w:rsidRDefault="00B146B6" w:rsidP="00B146B6">
      <w:r w:rsidRPr="00B146B6">
        <w:t>Stressed Interest Rates:</w:t>
      </w:r>
    </w:p>
    <w:p w:rsidR="00B146B6" w:rsidRPr="00B146B6" w:rsidRDefault="00B146B6" w:rsidP="00B146B6">
      <w:r w:rsidRPr="00B146B6">
        <w:t>In countries like Finland, Malta, and Portugal, lenders calculate DTI using a "stressed" interest rate—adding a few percentage points to the current rate—to ensure you can still pay if rates rise.</w:t>
      </w:r>
    </w:p>
    <w:p w:rsidR="00B146B6" w:rsidRPr="00B146B6" w:rsidRDefault="00B146B6" w:rsidP="00B146B6">
      <w:r w:rsidRPr="00B146B6">
        <w:t>DTI vs. DSTI:</w:t>
      </w:r>
    </w:p>
    <w:p w:rsidR="00B146B6" w:rsidRPr="00B146B6" w:rsidRDefault="00B146B6" w:rsidP="00B146B6">
      <w:r w:rsidRPr="00B146B6">
        <w:t>Many international regulators use Debt-Service-to-Income (DSTI), which specifically looks at the cost of servicing the debt (interest + principal) rather than just the total debt amount.</w:t>
      </w:r>
    </w:p>
    <w:p w:rsidR="00B146B6" w:rsidRPr="00B146B6" w:rsidRDefault="00B146B6" w:rsidP="00B146B6">
      <w:r w:rsidRPr="00B146B6">
        <w:t>Borrowing Caps:</w:t>
      </w:r>
    </w:p>
    <w:p w:rsidR="00B146B6" w:rsidRPr="00B146B6" w:rsidRDefault="00B146B6" w:rsidP="00B146B6">
      <w:r w:rsidRPr="00B146B6">
        <w:t>Australia: Regulators recently introduced rules where banks must limit the volume of new loans that exceed a DTI of 6 (total debt is 6x annual income).</w:t>
      </w:r>
    </w:p>
    <w:p w:rsidR="00B146B6" w:rsidRPr="00B146B6" w:rsidRDefault="00B146B6" w:rsidP="00B146B6">
      <w:r w:rsidRPr="00B146B6">
        <w:t xml:space="preserve">United Kingdom: Typically uses a "loan-to-income" (LTI) ratio rather than a monthly DTI, often capping mortgages at 4.5x annual </w:t>
      </w:r>
      <w:proofErr w:type="spellStart"/>
      <w:r w:rsidRPr="00B146B6">
        <w:t>incom</w:t>
      </w:r>
      <w:proofErr w:type="spellEnd"/>
    </w:p>
    <w:p w:rsidR="00B146B6" w:rsidRPr="00B146B6" w:rsidRDefault="00B146B6" w:rsidP="00B146B6">
      <w:r w:rsidRPr="00B146B6">
        <w:t>Typical Limits by Region</w:t>
      </w:r>
    </w:p>
    <w:tbl>
      <w:tblPr>
        <w:tblW w:w="9720" w:type="dxa"/>
        <w:tblCellMar>
          <w:top w:w="15" w:type="dxa"/>
          <w:left w:w="15" w:type="dxa"/>
          <w:bottom w:w="15" w:type="dxa"/>
          <w:right w:w="15" w:type="dxa"/>
        </w:tblCellMar>
        <w:tblLook w:val="04A0" w:firstRow="1" w:lastRow="0" w:firstColumn="1" w:lastColumn="0" w:noHBand="0" w:noVBand="1"/>
      </w:tblPr>
      <w:tblGrid>
        <w:gridCol w:w="1453"/>
        <w:gridCol w:w="2420"/>
        <w:gridCol w:w="5847"/>
      </w:tblGrid>
      <w:tr w:rsidR="00B146B6" w:rsidRPr="00B146B6">
        <w:tc>
          <w:tcPr>
            <w:tcW w:w="0" w:type="auto"/>
            <w:tcBorders>
              <w:bottom w:val="single" w:sz="6" w:space="0" w:color="2D2F35"/>
            </w:tcBorders>
            <w:tcMar>
              <w:top w:w="120" w:type="dxa"/>
              <w:left w:w="0" w:type="dxa"/>
              <w:bottom w:w="120" w:type="dxa"/>
              <w:right w:w="240" w:type="dxa"/>
            </w:tcMar>
            <w:hideMark/>
          </w:tcPr>
          <w:p w:rsidR="00B146B6" w:rsidRPr="00B146B6" w:rsidRDefault="00B146B6" w:rsidP="00B146B6">
            <w:r w:rsidRPr="00B146B6">
              <w:t>Region </w:t>
            </w:r>
          </w:p>
        </w:tc>
        <w:tc>
          <w:tcPr>
            <w:tcW w:w="0" w:type="auto"/>
            <w:tcBorders>
              <w:bottom w:val="single" w:sz="6" w:space="0" w:color="2D2F35"/>
            </w:tcBorders>
            <w:tcMar>
              <w:top w:w="120" w:type="dxa"/>
              <w:left w:w="0" w:type="dxa"/>
              <w:bottom w:w="120" w:type="dxa"/>
              <w:right w:w="240" w:type="dxa"/>
            </w:tcMar>
            <w:hideMark/>
          </w:tcPr>
          <w:p w:rsidR="00B146B6" w:rsidRPr="00B146B6" w:rsidRDefault="00B146B6" w:rsidP="00B146B6">
            <w:r w:rsidRPr="00B146B6">
              <w:t>Common DTI/DSTI Limit</w:t>
            </w:r>
          </w:p>
        </w:tc>
        <w:tc>
          <w:tcPr>
            <w:tcW w:w="0" w:type="auto"/>
            <w:tcBorders>
              <w:bottom w:val="single" w:sz="6" w:space="0" w:color="2D2F35"/>
            </w:tcBorders>
            <w:tcMar>
              <w:top w:w="120" w:type="dxa"/>
              <w:left w:w="0" w:type="dxa"/>
              <w:bottom w:w="120" w:type="dxa"/>
              <w:right w:w="0" w:type="dxa"/>
            </w:tcMar>
            <w:hideMark/>
          </w:tcPr>
          <w:p w:rsidR="00B146B6" w:rsidRPr="00B146B6" w:rsidRDefault="00B146B6" w:rsidP="00B146B6">
            <w:r w:rsidRPr="00B146B6">
              <w:t>Key Factor</w:t>
            </w:r>
          </w:p>
        </w:tc>
      </w:tr>
      <w:tr w:rsidR="00B146B6" w:rsidRPr="00B146B6">
        <w:tc>
          <w:tcPr>
            <w:tcW w:w="0" w:type="auto"/>
            <w:tcBorders>
              <w:bottom w:val="single" w:sz="6" w:space="0" w:color="2D2F35"/>
            </w:tcBorders>
            <w:tcMar>
              <w:top w:w="180" w:type="dxa"/>
              <w:left w:w="0" w:type="dxa"/>
              <w:bottom w:w="180" w:type="dxa"/>
              <w:right w:w="240" w:type="dxa"/>
            </w:tcMar>
            <w:hideMark/>
          </w:tcPr>
          <w:p w:rsidR="00B146B6" w:rsidRPr="00B146B6" w:rsidRDefault="00B146B6" w:rsidP="00B146B6">
            <w:r w:rsidRPr="00B146B6">
              <w:t>USA</w:t>
            </w:r>
          </w:p>
        </w:tc>
        <w:tc>
          <w:tcPr>
            <w:tcW w:w="0" w:type="auto"/>
            <w:tcBorders>
              <w:bottom w:val="single" w:sz="6" w:space="0" w:color="2D2F35"/>
            </w:tcBorders>
            <w:tcMar>
              <w:top w:w="180" w:type="dxa"/>
              <w:left w:w="0" w:type="dxa"/>
              <w:bottom w:w="180" w:type="dxa"/>
              <w:right w:w="240" w:type="dxa"/>
            </w:tcMar>
            <w:hideMark/>
          </w:tcPr>
          <w:p w:rsidR="00B146B6" w:rsidRPr="00B146B6" w:rsidRDefault="00B146B6" w:rsidP="00B146B6">
            <w:r w:rsidRPr="00B146B6">
              <w:t>36% – 43%</w:t>
            </w:r>
          </w:p>
        </w:tc>
        <w:tc>
          <w:tcPr>
            <w:tcW w:w="0" w:type="auto"/>
            <w:tcBorders>
              <w:bottom w:val="single" w:sz="6" w:space="0" w:color="2D2F35"/>
            </w:tcBorders>
            <w:tcMar>
              <w:top w:w="180" w:type="dxa"/>
              <w:left w:w="0" w:type="dxa"/>
              <w:bottom w:w="180" w:type="dxa"/>
              <w:right w:w="0" w:type="dxa"/>
            </w:tcMar>
            <w:hideMark/>
          </w:tcPr>
          <w:p w:rsidR="00B146B6" w:rsidRPr="00B146B6" w:rsidRDefault="00B146B6" w:rsidP="00B146B6">
            <w:r w:rsidRPr="00B146B6">
              <w:t>Based on gross income; 43% is the "Qualified Mortgage" cap.</w:t>
            </w:r>
          </w:p>
        </w:tc>
      </w:tr>
      <w:tr w:rsidR="00B146B6" w:rsidRPr="00B146B6">
        <w:tc>
          <w:tcPr>
            <w:tcW w:w="0" w:type="auto"/>
            <w:tcBorders>
              <w:bottom w:val="single" w:sz="6" w:space="0" w:color="2D2F35"/>
            </w:tcBorders>
            <w:tcMar>
              <w:top w:w="180" w:type="dxa"/>
              <w:left w:w="0" w:type="dxa"/>
              <w:bottom w:w="180" w:type="dxa"/>
              <w:right w:w="240" w:type="dxa"/>
            </w:tcMar>
            <w:hideMark/>
          </w:tcPr>
          <w:p w:rsidR="00B146B6" w:rsidRPr="00B146B6" w:rsidRDefault="00B146B6" w:rsidP="00B146B6">
            <w:r w:rsidRPr="00B146B6">
              <w:t>France</w:t>
            </w:r>
          </w:p>
        </w:tc>
        <w:tc>
          <w:tcPr>
            <w:tcW w:w="0" w:type="auto"/>
            <w:tcBorders>
              <w:bottom w:val="single" w:sz="6" w:space="0" w:color="2D2F35"/>
            </w:tcBorders>
            <w:tcMar>
              <w:top w:w="180" w:type="dxa"/>
              <w:left w:w="0" w:type="dxa"/>
              <w:bottom w:w="180" w:type="dxa"/>
              <w:right w:w="240" w:type="dxa"/>
            </w:tcMar>
            <w:hideMark/>
          </w:tcPr>
          <w:p w:rsidR="00B146B6" w:rsidRPr="00B146B6" w:rsidRDefault="00B146B6" w:rsidP="00B146B6">
            <w:r w:rsidRPr="00B146B6">
              <w:t>35%</w:t>
            </w:r>
          </w:p>
        </w:tc>
        <w:tc>
          <w:tcPr>
            <w:tcW w:w="0" w:type="auto"/>
            <w:tcBorders>
              <w:bottom w:val="single" w:sz="6" w:space="0" w:color="2D2F35"/>
            </w:tcBorders>
            <w:tcMar>
              <w:top w:w="180" w:type="dxa"/>
              <w:left w:w="0" w:type="dxa"/>
              <w:bottom w:w="180" w:type="dxa"/>
              <w:right w:w="0" w:type="dxa"/>
            </w:tcMar>
            <w:hideMark/>
          </w:tcPr>
          <w:p w:rsidR="00B146B6" w:rsidRPr="00B146B6" w:rsidRDefault="00B146B6" w:rsidP="00B146B6">
            <w:r w:rsidRPr="00B146B6">
              <w:t>Strict cap enforced by the High Council for Financial Stability.</w:t>
            </w:r>
          </w:p>
        </w:tc>
      </w:tr>
      <w:tr w:rsidR="00B146B6" w:rsidRPr="00B146B6">
        <w:tc>
          <w:tcPr>
            <w:tcW w:w="0" w:type="auto"/>
            <w:tcBorders>
              <w:bottom w:val="single" w:sz="6" w:space="0" w:color="2D2F35"/>
            </w:tcBorders>
            <w:tcMar>
              <w:top w:w="180" w:type="dxa"/>
              <w:left w:w="0" w:type="dxa"/>
              <w:bottom w:w="180" w:type="dxa"/>
              <w:right w:w="240" w:type="dxa"/>
            </w:tcMar>
            <w:hideMark/>
          </w:tcPr>
          <w:p w:rsidR="00B146B6" w:rsidRPr="00B146B6" w:rsidRDefault="00B146B6" w:rsidP="00B146B6">
            <w:r w:rsidRPr="00B146B6">
              <w:t>Canada</w:t>
            </w:r>
          </w:p>
        </w:tc>
        <w:tc>
          <w:tcPr>
            <w:tcW w:w="0" w:type="auto"/>
            <w:tcBorders>
              <w:bottom w:val="single" w:sz="6" w:space="0" w:color="2D2F35"/>
            </w:tcBorders>
            <w:tcMar>
              <w:top w:w="180" w:type="dxa"/>
              <w:left w:w="0" w:type="dxa"/>
              <w:bottom w:w="180" w:type="dxa"/>
              <w:right w:w="240" w:type="dxa"/>
            </w:tcMar>
            <w:hideMark/>
          </w:tcPr>
          <w:p w:rsidR="00B146B6" w:rsidRPr="00B146B6" w:rsidRDefault="00B146B6" w:rsidP="00B146B6">
            <w:r w:rsidRPr="00B146B6">
              <w:t>32% – 44%</w:t>
            </w:r>
          </w:p>
        </w:tc>
        <w:tc>
          <w:tcPr>
            <w:tcW w:w="0" w:type="auto"/>
            <w:tcBorders>
              <w:bottom w:val="single" w:sz="6" w:space="0" w:color="2D2F35"/>
            </w:tcBorders>
            <w:tcMar>
              <w:top w:w="180" w:type="dxa"/>
              <w:left w:w="0" w:type="dxa"/>
              <w:bottom w:w="180" w:type="dxa"/>
              <w:right w:w="0" w:type="dxa"/>
            </w:tcMar>
            <w:hideMark/>
          </w:tcPr>
          <w:p w:rsidR="00B146B6" w:rsidRPr="00B146B6" w:rsidRDefault="00B146B6" w:rsidP="00B146B6">
            <w:r w:rsidRPr="00B146B6">
              <w:t>Uses Gross Debt Service (GDS) and Total Debt Service (TDS) ratios.</w:t>
            </w:r>
          </w:p>
        </w:tc>
      </w:tr>
      <w:tr w:rsidR="00B146B6" w:rsidRPr="00B146B6">
        <w:tc>
          <w:tcPr>
            <w:tcW w:w="0" w:type="auto"/>
            <w:tcBorders>
              <w:bottom w:val="nil"/>
            </w:tcBorders>
            <w:tcMar>
              <w:top w:w="180" w:type="dxa"/>
              <w:left w:w="0" w:type="dxa"/>
              <w:bottom w:w="180" w:type="dxa"/>
              <w:right w:w="240" w:type="dxa"/>
            </w:tcMar>
            <w:hideMark/>
          </w:tcPr>
          <w:p w:rsidR="00B146B6" w:rsidRPr="00B146B6" w:rsidRDefault="00B146B6" w:rsidP="00B146B6">
            <w:r w:rsidRPr="00B146B6">
              <w:lastRenderedPageBreak/>
              <w:t>New Zealand</w:t>
            </w:r>
          </w:p>
        </w:tc>
        <w:tc>
          <w:tcPr>
            <w:tcW w:w="0" w:type="auto"/>
            <w:tcBorders>
              <w:bottom w:val="nil"/>
            </w:tcBorders>
            <w:tcMar>
              <w:top w:w="180" w:type="dxa"/>
              <w:left w:w="0" w:type="dxa"/>
              <w:bottom w:w="180" w:type="dxa"/>
              <w:right w:w="240" w:type="dxa"/>
            </w:tcMar>
            <w:hideMark/>
          </w:tcPr>
          <w:p w:rsidR="00B146B6" w:rsidRPr="00B146B6" w:rsidRDefault="00B146B6" w:rsidP="00B146B6">
            <w:r w:rsidRPr="00B146B6">
              <w:t>6.0 – 7.0</w:t>
            </w:r>
          </w:p>
        </w:tc>
        <w:tc>
          <w:tcPr>
            <w:tcW w:w="0" w:type="auto"/>
            <w:tcBorders>
              <w:bottom w:val="nil"/>
            </w:tcBorders>
            <w:tcMar>
              <w:top w:w="180" w:type="dxa"/>
              <w:left w:w="0" w:type="dxa"/>
              <w:bottom w:w="180" w:type="dxa"/>
              <w:right w:w="0" w:type="dxa"/>
            </w:tcMar>
            <w:hideMark/>
          </w:tcPr>
          <w:p w:rsidR="00B146B6" w:rsidRPr="00B146B6" w:rsidRDefault="00B146B6" w:rsidP="00B146B6">
            <w:r w:rsidRPr="00B146B6">
              <w:t>Banks often use a multiple of annual income (LTI).</w:t>
            </w:r>
          </w:p>
        </w:tc>
      </w:tr>
    </w:tbl>
    <w:p w:rsidR="00B146B6" w:rsidRPr="00B146B6" w:rsidRDefault="00B146B6" w:rsidP="00B146B6">
      <w:r w:rsidRPr="00B146B6">
        <w:t>Why It Varies</w:t>
      </w:r>
    </w:p>
    <w:p w:rsidR="00B146B6" w:rsidRPr="00B146B6" w:rsidRDefault="00B146B6" w:rsidP="00B146B6">
      <w:r w:rsidRPr="00B146B6">
        <w:t>Tax Systems: High-tax countries prefer using net income because gross income doesn't represent available cash flow.</w:t>
      </w:r>
    </w:p>
    <w:p w:rsidR="00B146B6" w:rsidRPr="00B146B6" w:rsidRDefault="00B146B6" w:rsidP="00B146B6">
      <w:r w:rsidRPr="00B146B6">
        <w:t>Social Safety Nets: Countries with robust social services might allow slightly higher debt ratios because citizens have fewer out-of-pocket costs for healthcare or education.</w:t>
      </w:r>
    </w:p>
    <w:p w:rsidR="00B146B6" w:rsidRPr="00B146B6" w:rsidRDefault="00B146B6" w:rsidP="00B146B6">
      <w:r w:rsidRPr="00B146B6">
        <w:t>Local Risk: Regulators in "booming" housing markets (like Australia or Canada) often tighten DTI rules to prevent economic bubbles</w:t>
      </w:r>
    </w:p>
    <w:p w:rsidR="00B146B6" w:rsidRPr="00B146B6" w:rsidRDefault="00B146B6" w:rsidP="00B146B6"/>
    <w:p w:rsidR="00B146B6" w:rsidRPr="00B146B6" w:rsidRDefault="00B146B6" w:rsidP="00B146B6">
      <w:r w:rsidRPr="00B146B6">
        <w:t>The fundamental difference lies in how each region defines income (gross vs. net) and the regulatory limits placed on that ratio. While the basic math is similar, the "passing grade" and what counts as income vary significantly across these five regions.</w:t>
      </w:r>
    </w:p>
    <w:p w:rsidR="00B146B6" w:rsidRPr="00B146B6" w:rsidRDefault="00B146B6" w:rsidP="00B146B6">
      <w:r w:rsidRPr="00B146B6">
        <w:t>DTI Comparison Table</w:t>
      </w:r>
    </w:p>
    <w:tbl>
      <w:tblPr>
        <w:tblW w:w="9720" w:type="dxa"/>
        <w:tblCellMar>
          <w:top w:w="15" w:type="dxa"/>
          <w:left w:w="15" w:type="dxa"/>
          <w:bottom w:w="15" w:type="dxa"/>
          <w:right w:w="15" w:type="dxa"/>
        </w:tblCellMar>
        <w:tblLook w:val="04A0" w:firstRow="1" w:lastRow="0" w:firstColumn="1" w:lastColumn="0" w:noHBand="0" w:noVBand="1"/>
      </w:tblPr>
      <w:tblGrid>
        <w:gridCol w:w="1929"/>
        <w:gridCol w:w="1212"/>
        <w:gridCol w:w="1282"/>
        <w:gridCol w:w="1420"/>
        <w:gridCol w:w="3877"/>
      </w:tblGrid>
      <w:tr w:rsidR="00B146B6" w:rsidRPr="00B146B6">
        <w:tc>
          <w:tcPr>
            <w:tcW w:w="0" w:type="auto"/>
            <w:tcBorders>
              <w:bottom w:val="single" w:sz="6" w:space="0" w:color="2D2F35"/>
            </w:tcBorders>
            <w:tcMar>
              <w:top w:w="120" w:type="dxa"/>
              <w:left w:w="0" w:type="dxa"/>
              <w:bottom w:w="120" w:type="dxa"/>
              <w:right w:w="240" w:type="dxa"/>
            </w:tcMar>
            <w:hideMark/>
          </w:tcPr>
          <w:p w:rsidR="00B146B6" w:rsidRPr="00B146B6" w:rsidRDefault="00B146B6" w:rsidP="00B146B6">
            <w:r w:rsidRPr="00B146B6">
              <w:t>Currency/Region </w:t>
            </w:r>
          </w:p>
        </w:tc>
        <w:tc>
          <w:tcPr>
            <w:tcW w:w="0" w:type="auto"/>
            <w:tcBorders>
              <w:bottom w:val="single" w:sz="6" w:space="0" w:color="2D2F35"/>
            </w:tcBorders>
            <w:tcMar>
              <w:top w:w="120" w:type="dxa"/>
              <w:left w:w="0" w:type="dxa"/>
              <w:bottom w:w="120" w:type="dxa"/>
              <w:right w:w="240" w:type="dxa"/>
            </w:tcMar>
            <w:hideMark/>
          </w:tcPr>
          <w:p w:rsidR="00B146B6" w:rsidRPr="00B146B6" w:rsidRDefault="00B146B6" w:rsidP="00B146B6">
            <w:r w:rsidRPr="00B146B6">
              <w:t>Primary Metric</w:t>
            </w:r>
          </w:p>
        </w:tc>
        <w:tc>
          <w:tcPr>
            <w:tcW w:w="0" w:type="auto"/>
            <w:tcBorders>
              <w:bottom w:val="single" w:sz="6" w:space="0" w:color="2D2F35"/>
            </w:tcBorders>
            <w:tcMar>
              <w:top w:w="120" w:type="dxa"/>
              <w:left w:w="0" w:type="dxa"/>
              <w:bottom w:w="120" w:type="dxa"/>
              <w:right w:w="240" w:type="dxa"/>
            </w:tcMar>
            <w:hideMark/>
          </w:tcPr>
          <w:p w:rsidR="00B146B6" w:rsidRPr="00B146B6" w:rsidRDefault="00B146B6" w:rsidP="00B146B6">
            <w:r w:rsidRPr="00B146B6">
              <w:t>Income Type Used</w:t>
            </w:r>
          </w:p>
        </w:tc>
        <w:tc>
          <w:tcPr>
            <w:tcW w:w="0" w:type="auto"/>
            <w:tcBorders>
              <w:bottom w:val="single" w:sz="6" w:space="0" w:color="2D2F35"/>
            </w:tcBorders>
            <w:tcMar>
              <w:top w:w="120" w:type="dxa"/>
              <w:left w:w="0" w:type="dxa"/>
              <w:bottom w:w="120" w:type="dxa"/>
              <w:right w:w="240" w:type="dxa"/>
            </w:tcMar>
            <w:hideMark/>
          </w:tcPr>
          <w:p w:rsidR="00B146B6" w:rsidRPr="00B146B6" w:rsidRDefault="00B146B6" w:rsidP="00B146B6">
            <w:r w:rsidRPr="00B146B6">
              <w:t>Standard Max Limit</w:t>
            </w:r>
          </w:p>
        </w:tc>
        <w:tc>
          <w:tcPr>
            <w:tcW w:w="0" w:type="auto"/>
            <w:tcBorders>
              <w:bottom w:val="single" w:sz="6" w:space="0" w:color="2D2F35"/>
            </w:tcBorders>
            <w:tcMar>
              <w:top w:w="120" w:type="dxa"/>
              <w:left w:w="0" w:type="dxa"/>
              <w:bottom w:w="120" w:type="dxa"/>
              <w:right w:w="0" w:type="dxa"/>
            </w:tcMar>
            <w:hideMark/>
          </w:tcPr>
          <w:p w:rsidR="00B146B6" w:rsidRPr="00B146B6" w:rsidRDefault="00B146B6" w:rsidP="00B146B6">
            <w:r w:rsidRPr="00B146B6">
              <w:t>Key Regional Difference</w:t>
            </w:r>
          </w:p>
        </w:tc>
      </w:tr>
      <w:tr w:rsidR="00B146B6" w:rsidRPr="00B146B6">
        <w:tc>
          <w:tcPr>
            <w:tcW w:w="0" w:type="auto"/>
            <w:tcBorders>
              <w:bottom w:val="single" w:sz="6" w:space="0" w:color="2D2F35"/>
            </w:tcBorders>
            <w:tcMar>
              <w:top w:w="180" w:type="dxa"/>
              <w:left w:w="0" w:type="dxa"/>
              <w:bottom w:w="180" w:type="dxa"/>
              <w:right w:w="240" w:type="dxa"/>
            </w:tcMar>
            <w:hideMark/>
          </w:tcPr>
          <w:p w:rsidR="00B146B6" w:rsidRPr="00B146B6" w:rsidRDefault="00B146B6" w:rsidP="00B146B6">
            <w:r w:rsidRPr="00B146B6">
              <w:t>USD (USA)</w:t>
            </w:r>
          </w:p>
        </w:tc>
        <w:tc>
          <w:tcPr>
            <w:tcW w:w="0" w:type="auto"/>
            <w:tcBorders>
              <w:bottom w:val="single" w:sz="6" w:space="0" w:color="2D2F35"/>
            </w:tcBorders>
            <w:tcMar>
              <w:top w:w="180" w:type="dxa"/>
              <w:left w:w="0" w:type="dxa"/>
              <w:bottom w:w="180" w:type="dxa"/>
              <w:right w:w="240" w:type="dxa"/>
            </w:tcMar>
            <w:hideMark/>
          </w:tcPr>
          <w:p w:rsidR="00B146B6" w:rsidRPr="00B146B6" w:rsidRDefault="00B146B6" w:rsidP="00B146B6">
            <w:r w:rsidRPr="00B146B6">
              <w:t>DTI</w:t>
            </w:r>
          </w:p>
        </w:tc>
        <w:tc>
          <w:tcPr>
            <w:tcW w:w="0" w:type="auto"/>
            <w:tcBorders>
              <w:bottom w:val="single" w:sz="6" w:space="0" w:color="2D2F35"/>
            </w:tcBorders>
            <w:tcMar>
              <w:top w:w="180" w:type="dxa"/>
              <w:left w:w="0" w:type="dxa"/>
              <w:bottom w:w="180" w:type="dxa"/>
              <w:right w:w="240" w:type="dxa"/>
            </w:tcMar>
            <w:hideMark/>
          </w:tcPr>
          <w:p w:rsidR="00B146B6" w:rsidRPr="00B146B6" w:rsidRDefault="00B146B6" w:rsidP="00B146B6">
            <w:r w:rsidRPr="00B146B6">
              <w:t>Gross (</w:t>
            </w:r>
            <w:proofErr w:type="gramStart"/>
            <w:r w:rsidRPr="00B146B6">
              <w:t>Pre-tax</w:t>
            </w:r>
            <w:proofErr w:type="gramEnd"/>
            <w:r w:rsidRPr="00B146B6">
              <w:t>)</w:t>
            </w:r>
          </w:p>
        </w:tc>
        <w:tc>
          <w:tcPr>
            <w:tcW w:w="0" w:type="auto"/>
            <w:tcBorders>
              <w:bottom w:val="single" w:sz="6" w:space="0" w:color="2D2F35"/>
            </w:tcBorders>
            <w:tcMar>
              <w:top w:w="180" w:type="dxa"/>
              <w:left w:w="0" w:type="dxa"/>
              <w:bottom w:w="180" w:type="dxa"/>
              <w:right w:w="240" w:type="dxa"/>
            </w:tcMar>
            <w:hideMark/>
          </w:tcPr>
          <w:p w:rsidR="00B146B6" w:rsidRPr="00B146B6" w:rsidRDefault="00B146B6" w:rsidP="00B146B6">
            <w:r w:rsidRPr="00B146B6">
              <w:t>43%</w:t>
            </w:r>
          </w:p>
        </w:tc>
        <w:tc>
          <w:tcPr>
            <w:tcW w:w="0" w:type="auto"/>
            <w:tcBorders>
              <w:bottom w:val="single" w:sz="6" w:space="0" w:color="2D2F35"/>
            </w:tcBorders>
            <w:tcMar>
              <w:top w:w="180" w:type="dxa"/>
              <w:left w:w="0" w:type="dxa"/>
              <w:bottom w:w="180" w:type="dxa"/>
              <w:right w:w="0" w:type="dxa"/>
            </w:tcMar>
            <w:hideMark/>
          </w:tcPr>
          <w:p w:rsidR="00B146B6" w:rsidRPr="00B146B6" w:rsidRDefault="00B146B6" w:rsidP="00B146B6">
            <w:r w:rsidRPr="00B146B6">
              <w:t>Rigidly tiered into "Front-end" (housing only) and "Back-end" (all debt).</w:t>
            </w:r>
          </w:p>
        </w:tc>
      </w:tr>
      <w:tr w:rsidR="00B146B6" w:rsidRPr="00B146B6">
        <w:tc>
          <w:tcPr>
            <w:tcW w:w="0" w:type="auto"/>
            <w:tcBorders>
              <w:bottom w:val="single" w:sz="6" w:space="0" w:color="2D2F35"/>
            </w:tcBorders>
            <w:tcMar>
              <w:top w:w="180" w:type="dxa"/>
              <w:left w:w="0" w:type="dxa"/>
              <w:bottom w:w="180" w:type="dxa"/>
              <w:right w:w="240" w:type="dxa"/>
            </w:tcMar>
            <w:hideMark/>
          </w:tcPr>
          <w:p w:rsidR="00B146B6" w:rsidRPr="00B146B6" w:rsidRDefault="00B146B6" w:rsidP="00B146B6">
            <w:r w:rsidRPr="00B146B6">
              <w:t>GBP (UK)</w:t>
            </w:r>
          </w:p>
        </w:tc>
        <w:tc>
          <w:tcPr>
            <w:tcW w:w="0" w:type="auto"/>
            <w:tcBorders>
              <w:bottom w:val="single" w:sz="6" w:space="0" w:color="2D2F35"/>
            </w:tcBorders>
            <w:tcMar>
              <w:top w:w="180" w:type="dxa"/>
              <w:left w:w="0" w:type="dxa"/>
              <w:bottom w:w="180" w:type="dxa"/>
              <w:right w:w="240" w:type="dxa"/>
            </w:tcMar>
            <w:hideMark/>
          </w:tcPr>
          <w:p w:rsidR="00B146B6" w:rsidRPr="00B146B6" w:rsidRDefault="00B146B6" w:rsidP="00B146B6">
            <w:r w:rsidRPr="00B146B6">
              <w:t>LTI / DSTI</w:t>
            </w:r>
          </w:p>
        </w:tc>
        <w:tc>
          <w:tcPr>
            <w:tcW w:w="0" w:type="auto"/>
            <w:tcBorders>
              <w:bottom w:val="single" w:sz="6" w:space="0" w:color="2D2F35"/>
            </w:tcBorders>
            <w:tcMar>
              <w:top w:w="180" w:type="dxa"/>
              <w:left w:w="0" w:type="dxa"/>
              <w:bottom w:w="180" w:type="dxa"/>
              <w:right w:w="240" w:type="dxa"/>
            </w:tcMar>
            <w:hideMark/>
          </w:tcPr>
          <w:p w:rsidR="00B146B6" w:rsidRPr="00B146B6" w:rsidRDefault="00B146B6" w:rsidP="00B146B6">
            <w:r w:rsidRPr="00B146B6">
              <w:t>Net (After-tax)</w:t>
            </w:r>
          </w:p>
        </w:tc>
        <w:tc>
          <w:tcPr>
            <w:tcW w:w="0" w:type="auto"/>
            <w:tcBorders>
              <w:bottom w:val="single" w:sz="6" w:space="0" w:color="2D2F35"/>
            </w:tcBorders>
            <w:tcMar>
              <w:top w:w="180" w:type="dxa"/>
              <w:left w:w="0" w:type="dxa"/>
              <w:bottom w:w="180" w:type="dxa"/>
              <w:right w:w="240" w:type="dxa"/>
            </w:tcMar>
            <w:hideMark/>
          </w:tcPr>
          <w:p w:rsidR="00B146B6" w:rsidRPr="00B146B6" w:rsidRDefault="00B146B6" w:rsidP="00B146B6">
            <w:r w:rsidRPr="00B146B6">
              <w:t>~44%</w:t>
            </w:r>
          </w:p>
        </w:tc>
        <w:tc>
          <w:tcPr>
            <w:tcW w:w="0" w:type="auto"/>
            <w:tcBorders>
              <w:bottom w:val="single" w:sz="6" w:space="0" w:color="2D2F35"/>
            </w:tcBorders>
            <w:tcMar>
              <w:top w:w="180" w:type="dxa"/>
              <w:left w:w="0" w:type="dxa"/>
              <w:bottom w:w="180" w:type="dxa"/>
              <w:right w:w="0" w:type="dxa"/>
            </w:tcMar>
            <w:hideMark/>
          </w:tcPr>
          <w:p w:rsidR="00B146B6" w:rsidRPr="00B146B6" w:rsidRDefault="00B146B6" w:rsidP="00B146B6">
            <w:r w:rsidRPr="00B146B6">
              <w:t>Often measured as Loan-to-Income (LTI), usually capped at 4.5x annual income.</w:t>
            </w:r>
          </w:p>
        </w:tc>
      </w:tr>
      <w:tr w:rsidR="00B146B6" w:rsidRPr="00B146B6">
        <w:tc>
          <w:tcPr>
            <w:tcW w:w="0" w:type="auto"/>
            <w:tcBorders>
              <w:bottom w:val="single" w:sz="6" w:space="0" w:color="2D2F35"/>
            </w:tcBorders>
            <w:tcMar>
              <w:top w:w="180" w:type="dxa"/>
              <w:left w:w="0" w:type="dxa"/>
              <w:bottom w:w="180" w:type="dxa"/>
              <w:right w:w="240" w:type="dxa"/>
            </w:tcMar>
            <w:hideMark/>
          </w:tcPr>
          <w:p w:rsidR="00B146B6" w:rsidRPr="00B146B6" w:rsidRDefault="00B146B6" w:rsidP="00B146B6">
            <w:r w:rsidRPr="00B146B6">
              <w:t>JPY (Japan)</w:t>
            </w:r>
          </w:p>
        </w:tc>
        <w:tc>
          <w:tcPr>
            <w:tcW w:w="0" w:type="auto"/>
            <w:tcBorders>
              <w:bottom w:val="single" w:sz="6" w:space="0" w:color="2D2F35"/>
            </w:tcBorders>
            <w:tcMar>
              <w:top w:w="180" w:type="dxa"/>
              <w:left w:w="0" w:type="dxa"/>
              <w:bottom w:w="180" w:type="dxa"/>
              <w:right w:w="240" w:type="dxa"/>
            </w:tcMar>
            <w:hideMark/>
          </w:tcPr>
          <w:p w:rsidR="00B146B6" w:rsidRPr="00B146B6" w:rsidRDefault="00B146B6" w:rsidP="00B146B6">
            <w:r w:rsidRPr="00B146B6">
              <w:t>DSR</w:t>
            </w:r>
          </w:p>
        </w:tc>
        <w:tc>
          <w:tcPr>
            <w:tcW w:w="0" w:type="auto"/>
            <w:tcBorders>
              <w:bottom w:val="single" w:sz="6" w:space="0" w:color="2D2F35"/>
            </w:tcBorders>
            <w:tcMar>
              <w:top w:w="180" w:type="dxa"/>
              <w:left w:w="0" w:type="dxa"/>
              <w:bottom w:w="180" w:type="dxa"/>
              <w:right w:w="240" w:type="dxa"/>
            </w:tcMar>
            <w:hideMark/>
          </w:tcPr>
          <w:p w:rsidR="00B146B6" w:rsidRPr="00B146B6" w:rsidRDefault="00B146B6" w:rsidP="00B146B6">
            <w:r w:rsidRPr="00B146B6">
              <w:t>Gross (</w:t>
            </w:r>
            <w:proofErr w:type="gramStart"/>
            <w:r w:rsidRPr="00B146B6">
              <w:t>Pre-tax</w:t>
            </w:r>
            <w:proofErr w:type="gramEnd"/>
            <w:r w:rsidRPr="00B146B6">
              <w:t>)</w:t>
            </w:r>
          </w:p>
        </w:tc>
        <w:tc>
          <w:tcPr>
            <w:tcW w:w="0" w:type="auto"/>
            <w:tcBorders>
              <w:bottom w:val="single" w:sz="6" w:space="0" w:color="2D2F35"/>
            </w:tcBorders>
            <w:tcMar>
              <w:top w:w="180" w:type="dxa"/>
              <w:left w:w="0" w:type="dxa"/>
              <w:bottom w:w="180" w:type="dxa"/>
              <w:right w:w="240" w:type="dxa"/>
            </w:tcMar>
            <w:hideMark/>
          </w:tcPr>
          <w:p w:rsidR="00B146B6" w:rsidRPr="00B146B6" w:rsidRDefault="00B146B6" w:rsidP="00B146B6">
            <w:r w:rsidRPr="00B146B6">
              <w:t>35% – 45%</w:t>
            </w:r>
          </w:p>
        </w:tc>
        <w:tc>
          <w:tcPr>
            <w:tcW w:w="0" w:type="auto"/>
            <w:tcBorders>
              <w:bottom w:val="single" w:sz="6" w:space="0" w:color="2D2F35"/>
            </w:tcBorders>
            <w:tcMar>
              <w:top w:w="180" w:type="dxa"/>
              <w:left w:w="0" w:type="dxa"/>
              <w:bottom w:w="180" w:type="dxa"/>
              <w:right w:w="0" w:type="dxa"/>
            </w:tcMar>
            <w:hideMark/>
          </w:tcPr>
          <w:p w:rsidR="00B146B6" w:rsidRPr="00B146B6" w:rsidRDefault="00B146B6" w:rsidP="00B146B6">
            <w:r w:rsidRPr="00B146B6">
              <w:t>Lenders "stress test" applications using a higher interest rate (3–4%) than the actual market rate.</w:t>
            </w:r>
          </w:p>
        </w:tc>
      </w:tr>
      <w:tr w:rsidR="00B146B6" w:rsidRPr="00B146B6">
        <w:tc>
          <w:tcPr>
            <w:tcW w:w="0" w:type="auto"/>
            <w:tcBorders>
              <w:bottom w:val="single" w:sz="6" w:space="0" w:color="2D2F35"/>
            </w:tcBorders>
            <w:tcMar>
              <w:top w:w="180" w:type="dxa"/>
              <w:left w:w="0" w:type="dxa"/>
              <w:bottom w:w="180" w:type="dxa"/>
              <w:right w:w="240" w:type="dxa"/>
            </w:tcMar>
            <w:hideMark/>
          </w:tcPr>
          <w:p w:rsidR="00B146B6" w:rsidRPr="00B146B6" w:rsidRDefault="00B146B6" w:rsidP="00B146B6">
            <w:r w:rsidRPr="00B146B6">
              <w:t>PHP (Philippines)</w:t>
            </w:r>
          </w:p>
        </w:tc>
        <w:tc>
          <w:tcPr>
            <w:tcW w:w="0" w:type="auto"/>
            <w:tcBorders>
              <w:bottom w:val="single" w:sz="6" w:space="0" w:color="2D2F35"/>
            </w:tcBorders>
            <w:tcMar>
              <w:top w:w="180" w:type="dxa"/>
              <w:left w:w="0" w:type="dxa"/>
              <w:bottom w:w="180" w:type="dxa"/>
              <w:right w:w="240" w:type="dxa"/>
            </w:tcMar>
            <w:hideMark/>
          </w:tcPr>
          <w:p w:rsidR="00B146B6" w:rsidRPr="00B146B6" w:rsidRDefault="00B146B6" w:rsidP="00B146B6">
            <w:r w:rsidRPr="00B146B6">
              <w:t>DTI</w:t>
            </w:r>
          </w:p>
        </w:tc>
        <w:tc>
          <w:tcPr>
            <w:tcW w:w="0" w:type="auto"/>
            <w:tcBorders>
              <w:bottom w:val="single" w:sz="6" w:space="0" w:color="2D2F35"/>
            </w:tcBorders>
            <w:tcMar>
              <w:top w:w="180" w:type="dxa"/>
              <w:left w:w="0" w:type="dxa"/>
              <w:bottom w:w="180" w:type="dxa"/>
              <w:right w:w="240" w:type="dxa"/>
            </w:tcMar>
            <w:hideMark/>
          </w:tcPr>
          <w:p w:rsidR="00B146B6" w:rsidRPr="00B146B6" w:rsidRDefault="00B146B6" w:rsidP="00B146B6">
            <w:r w:rsidRPr="00B146B6">
              <w:t>Gross (</w:t>
            </w:r>
            <w:proofErr w:type="gramStart"/>
            <w:r w:rsidRPr="00B146B6">
              <w:t>Pre-tax</w:t>
            </w:r>
            <w:proofErr w:type="gramEnd"/>
            <w:r w:rsidRPr="00B146B6">
              <w:t>)</w:t>
            </w:r>
          </w:p>
        </w:tc>
        <w:tc>
          <w:tcPr>
            <w:tcW w:w="0" w:type="auto"/>
            <w:tcBorders>
              <w:bottom w:val="single" w:sz="6" w:space="0" w:color="2D2F35"/>
            </w:tcBorders>
            <w:tcMar>
              <w:top w:w="180" w:type="dxa"/>
              <w:left w:w="0" w:type="dxa"/>
              <w:bottom w:w="180" w:type="dxa"/>
              <w:right w:w="240" w:type="dxa"/>
            </w:tcMar>
            <w:hideMark/>
          </w:tcPr>
          <w:p w:rsidR="00B146B6" w:rsidRPr="00B146B6" w:rsidRDefault="00B146B6" w:rsidP="00B146B6">
            <w:r w:rsidRPr="00B146B6">
              <w:t>30% – 40%</w:t>
            </w:r>
          </w:p>
        </w:tc>
        <w:tc>
          <w:tcPr>
            <w:tcW w:w="0" w:type="auto"/>
            <w:tcBorders>
              <w:bottom w:val="single" w:sz="6" w:space="0" w:color="2D2F35"/>
            </w:tcBorders>
            <w:tcMar>
              <w:top w:w="180" w:type="dxa"/>
              <w:left w:w="0" w:type="dxa"/>
              <w:bottom w:w="180" w:type="dxa"/>
              <w:right w:w="0" w:type="dxa"/>
            </w:tcMar>
            <w:hideMark/>
          </w:tcPr>
          <w:p w:rsidR="00B146B6" w:rsidRPr="00B146B6" w:rsidRDefault="00B146B6" w:rsidP="00B146B6">
            <w:r w:rsidRPr="00B146B6">
              <w:t>Banks generally prefer a stricter 30% for home loans to ensure stability.</w:t>
            </w:r>
          </w:p>
        </w:tc>
      </w:tr>
      <w:tr w:rsidR="00B146B6" w:rsidRPr="00B146B6">
        <w:tc>
          <w:tcPr>
            <w:tcW w:w="0" w:type="auto"/>
            <w:tcBorders>
              <w:bottom w:val="nil"/>
            </w:tcBorders>
            <w:tcMar>
              <w:top w:w="180" w:type="dxa"/>
              <w:left w:w="0" w:type="dxa"/>
              <w:bottom w:w="180" w:type="dxa"/>
              <w:right w:w="240" w:type="dxa"/>
            </w:tcMar>
            <w:hideMark/>
          </w:tcPr>
          <w:p w:rsidR="00B146B6" w:rsidRPr="00B146B6" w:rsidRDefault="00B146B6" w:rsidP="00B146B6">
            <w:r w:rsidRPr="00B146B6">
              <w:lastRenderedPageBreak/>
              <w:t>SGD (Singapore)</w:t>
            </w:r>
          </w:p>
        </w:tc>
        <w:tc>
          <w:tcPr>
            <w:tcW w:w="0" w:type="auto"/>
            <w:tcBorders>
              <w:bottom w:val="nil"/>
            </w:tcBorders>
            <w:tcMar>
              <w:top w:w="180" w:type="dxa"/>
              <w:left w:w="0" w:type="dxa"/>
              <w:bottom w:w="180" w:type="dxa"/>
              <w:right w:w="240" w:type="dxa"/>
            </w:tcMar>
            <w:hideMark/>
          </w:tcPr>
          <w:p w:rsidR="00B146B6" w:rsidRPr="00B146B6" w:rsidRDefault="00B146B6" w:rsidP="00B146B6">
            <w:r w:rsidRPr="00B146B6">
              <w:t>TDSR</w:t>
            </w:r>
          </w:p>
        </w:tc>
        <w:tc>
          <w:tcPr>
            <w:tcW w:w="0" w:type="auto"/>
            <w:tcBorders>
              <w:bottom w:val="nil"/>
            </w:tcBorders>
            <w:tcMar>
              <w:top w:w="180" w:type="dxa"/>
              <w:left w:w="0" w:type="dxa"/>
              <w:bottom w:w="180" w:type="dxa"/>
              <w:right w:w="240" w:type="dxa"/>
            </w:tcMar>
            <w:hideMark/>
          </w:tcPr>
          <w:p w:rsidR="00B146B6" w:rsidRPr="00B146B6" w:rsidRDefault="00B146B6" w:rsidP="00B146B6">
            <w:r w:rsidRPr="00B146B6">
              <w:t>Gross (</w:t>
            </w:r>
            <w:proofErr w:type="gramStart"/>
            <w:r w:rsidRPr="00B146B6">
              <w:t>Pre-tax</w:t>
            </w:r>
            <w:proofErr w:type="gramEnd"/>
            <w:r w:rsidRPr="00B146B6">
              <w:t>)</w:t>
            </w:r>
          </w:p>
        </w:tc>
        <w:tc>
          <w:tcPr>
            <w:tcW w:w="0" w:type="auto"/>
            <w:tcBorders>
              <w:bottom w:val="nil"/>
            </w:tcBorders>
            <w:tcMar>
              <w:top w:w="180" w:type="dxa"/>
              <w:left w:w="0" w:type="dxa"/>
              <w:bottom w:w="180" w:type="dxa"/>
              <w:right w:w="240" w:type="dxa"/>
            </w:tcMar>
            <w:hideMark/>
          </w:tcPr>
          <w:p w:rsidR="00B146B6" w:rsidRPr="00B146B6" w:rsidRDefault="00B146B6" w:rsidP="00B146B6">
            <w:r w:rsidRPr="00B146B6">
              <w:t>55%</w:t>
            </w:r>
          </w:p>
        </w:tc>
        <w:tc>
          <w:tcPr>
            <w:tcW w:w="0" w:type="auto"/>
            <w:tcBorders>
              <w:bottom w:val="nil"/>
            </w:tcBorders>
            <w:tcMar>
              <w:top w:w="180" w:type="dxa"/>
              <w:left w:w="0" w:type="dxa"/>
              <w:bottom w:w="180" w:type="dxa"/>
              <w:right w:w="0" w:type="dxa"/>
            </w:tcMar>
            <w:hideMark/>
          </w:tcPr>
          <w:p w:rsidR="00B146B6" w:rsidRPr="00B146B6" w:rsidRDefault="00B146B6" w:rsidP="00B146B6">
            <w:r w:rsidRPr="00B146B6">
              <w:t>Highly regulated Total Debt Servicing Ratio; variable income is "haircut" by 30% before calculation.</w:t>
            </w:r>
          </w:p>
        </w:tc>
      </w:tr>
    </w:tbl>
    <w:p w:rsidR="00B146B6" w:rsidRPr="00B146B6" w:rsidRDefault="00B146B6" w:rsidP="00B146B6">
      <w:r w:rsidRPr="00B146B6">
        <w:t>Regional Breakdown</w:t>
      </w:r>
    </w:p>
    <w:p w:rsidR="00B146B6" w:rsidRPr="00B146B6" w:rsidRDefault="00B146B6" w:rsidP="00B146B6">
      <w:r w:rsidRPr="00B146B6">
        <w:t>USD (United States): Lenders follow the 28/36 rule. They prefer that your mortgage payment (front-end) is no more than 28% and all debts (back-end) do not exceed 36% of your gross income. 43% is the hard limit for "Qualified Mortgages".</w:t>
      </w:r>
    </w:p>
    <w:p w:rsidR="00B146B6" w:rsidRPr="00B146B6" w:rsidRDefault="00B146B6" w:rsidP="00B146B6">
      <w:r w:rsidRPr="00B146B6">
        <w:t>GBP (United Kingdom): UK lenders focus heavily on affordability assessments. Instead of a single monthly percentage, they often use an income multiple (typically 4.5x annual salary) and calculate debt service based on take-home (net) pay.</w:t>
      </w:r>
    </w:p>
    <w:p w:rsidR="00B146B6" w:rsidRPr="00B146B6" w:rsidRDefault="00B146B6" w:rsidP="00B146B6">
      <w:r w:rsidRPr="00B146B6">
        <w:t>JPY (Japan): While the official limit can be as high as 45% of gross income, Japanese banks are conservative. Because market interest rates are extremely low (often sub-1%), banks calculate your DTI using a hypothetical "</w:t>
      </w:r>
      <w:proofErr w:type="spellStart"/>
      <w:r w:rsidRPr="00B146B6">
        <w:rPr>
          <w:rFonts w:ascii="MS Gothic" w:eastAsia="MS Gothic" w:hAnsi="MS Gothic" w:cs="MS Gothic" w:hint="eastAsia"/>
        </w:rPr>
        <w:t>審査金利</w:t>
      </w:r>
      <w:proofErr w:type="spellEnd"/>
      <w:r w:rsidRPr="00B146B6">
        <w:t>" (screening rate) of 3–4% to ensure you can survive future rate hikes.</w:t>
      </w:r>
    </w:p>
    <w:p w:rsidR="00B146B6" w:rsidRPr="00B146B6" w:rsidRDefault="00B146B6" w:rsidP="00B146B6">
      <w:r w:rsidRPr="00B146B6">
        <w:t>PHP (Philippines): The standard formula is (Total Monthly Debts / Gross Monthly Income) x 100. Lenders like </w:t>
      </w:r>
      <w:hyperlink r:id="rId5" w:tgtFrame="_blank" w:history="1">
        <w:proofErr w:type="spellStart"/>
        <w:r w:rsidRPr="00B146B6">
          <w:rPr>
            <w:rStyle w:val="Hyperlink"/>
          </w:rPr>
          <w:t>FinScore</w:t>
        </w:r>
        <w:proofErr w:type="spellEnd"/>
        <w:r w:rsidRPr="00B146B6">
          <w:rPr>
            <w:rStyle w:val="Hyperlink"/>
          </w:rPr>
          <w:t xml:space="preserve"> Philippines</w:t>
        </w:r>
      </w:hyperlink>
      <w:r w:rsidRPr="00B146B6">
        <w:t> note that while 40% is an upper limit, a DTI of 30% or lower is the gold standard for home loan approval.</w:t>
      </w:r>
    </w:p>
    <w:p w:rsidR="00B146B6" w:rsidRPr="00B146B6" w:rsidRDefault="00B146B6" w:rsidP="00B146B6">
      <w:r w:rsidRPr="00B146B6">
        <w:t>SGD (Singapore): Regulated by the </w:t>
      </w:r>
      <w:hyperlink r:id="rId6" w:tgtFrame="_blank" w:history="1">
        <w:r w:rsidRPr="00B146B6">
          <w:rPr>
            <w:rStyle w:val="Hyperlink"/>
          </w:rPr>
          <w:t>Monetary Authority of Singapore (MAS)</w:t>
        </w:r>
      </w:hyperlink>
      <w:r w:rsidRPr="00B146B6">
        <w:t>, the Total Debt Servicing Ratio (TDSR) is currently capped at 55%. Notably, if you have variable income (like commissions), banks only count 70% of it toward your "gross income". </w:t>
      </w:r>
    </w:p>
    <w:p w:rsidR="00B146B6" w:rsidRPr="00B146B6" w:rsidRDefault="00B146B6" w:rsidP="00B146B6"/>
    <w:p w:rsidR="00B146B6" w:rsidRPr="00B146B6" w:rsidRDefault="00B146B6" w:rsidP="00B146B6"/>
    <w:sectPr w:rsidR="00B146B6" w:rsidRPr="00B146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67C9A"/>
    <w:multiLevelType w:val="hybridMultilevel"/>
    <w:tmpl w:val="DDA82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206881"/>
    <w:multiLevelType w:val="multilevel"/>
    <w:tmpl w:val="DA684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D0BAA"/>
    <w:multiLevelType w:val="multilevel"/>
    <w:tmpl w:val="5106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12608C"/>
    <w:multiLevelType w:val="multilevel"/>
    <w:tmpl w:val="3FD0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38507E"/>
    <w:multiLevelType w:val="multilevel"/>
    <w:tmpl w:val="83C6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280BBA"/>
    <w:multiLevelType w:val="multilevel"/>
    <w:tmpl w:val="4422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30735F"/>
    <w:multiLevelType w:val="hybridMultilevel"/>
    <w:tmpl w:val="8F24C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BB3B2B"/>
    <w:multiLevelType w:val="hybridMultilevel"/>
    <w:tmpl w:val="1B0A9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300EF9"/>
    <w:multiLevelType w:val="hybridMultilevel"/>
    <w:tmpl w:val="3536C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DA75B5"/>
    <w:multiLevelType w:val="multilevel"/>
    <w:tmpl w:val="E6C6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D65DDC"/>
    <w:multiLevelType w:val="hybridMultilevel"/>
    <w:tmpl w:val="1F9E5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1C1DB3"/>
    <w:multiLevelType w:val="multilevel"/>
    <w:tmpl w:val="12CE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B528CF"/>
    <w:multiLevelType w:val="multilevel"/>
    <w:tmpl w:val="939A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0203222">
    <w:abstractNumId w:val="11"/>
  </w:num>
  <w:num w:numId="2" w16cid:durableId="1004891498">
    <w:abstractNumId w:val="3"/>
  </w:num>
  <w:num w:numId="3" w16cid:durableId="145246553">
    <w:abstractNumId w:val="9"/>
  </w:num>
  <w:num w:numId="4" w16cid:durableId="1166900630">
    <w:abstractNumId w:val="2"/>
  </w:num>
  <w:num w:numId="5" w16cid:durableId="932055345">
    <w:abstractNumId w:val="5"/>
  </w:num>
  <w:num w:numId="6" w16cid:durableId="1679186727">
    <w:abstractNumId w:val="1"/>
  </w:num>
  <w:num w:numId="7" w16cid:durableId="2103258807">
    <w:abstractNumId w:val="4"/>
  </w:num>
  <w:num w:numId="8" w16cid:durableId="457261026">
    <w:abstractNumId w:val="12"/>
  </w:num>
  <w:num w:numId="9" w16cid:durableId="599412069">
    <w:abstractNumId w:val="10"/>
  </w:num>
  <w:num w:numId="10" w16cid:durableId="373847025">
    <w:abstractNumId w:val="7"/>
  </w:num>
  <w:num w:numId="11" w16cid:durableId="384371937">
    <w:abstractNumId w:val="8"/>
  </w:num>
  <w:num w:numId="12" w16cid:durableId="147720749">
    <w:abstractNumId w:val="0"/>
  </w:num>
  <w:num w:numId="13" w16cid:durableId="12855728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6B6"/>
    <w:rsid w:val="00B146B6"/>
    <w:rsid w:val="00B372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0F931"/>
  <w15:chartTrackingRefBased/>
  <w15:docId w15:val="{3EFBAB27-14E8-8446-9131-56DF6099F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46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46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46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46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46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46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46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46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46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46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46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46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46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46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46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46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46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46B6"/>
    <w:rPr>
      <w:rFonts w:eastAsiaTheme="majorEastAsia" w:cstheme="majorBidi"/>
      <w:color w:val="272727" w:themeColor="text1" w:themeTint="D8"/>
    </w:rPr>
  </w:style>
  <w:style w:type="paragraph" w:styleId="Title">
    <w:name w:val="Title"/>
    <w:basedOn w:val="Normal"/>
    <w:next w:val="Normal"/>
    <w:link w:val="TitleChar"/>
    <w:uiPriority w:val="10"/>
    <w:qFormat/>
    <w:rsid w:val="00B146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46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46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46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46B6"/>
    <w:pPr>
      <w:spacing w:before="160"/>
      <w:jc w:val="center"/>
    </w:pPr>
    <w:rPr>
      <w:i/>
      <w:iCs/>
      <w:color w:val="404040" w:themeColor="text1" w:themeTint="BF"/>
    </w:rPr>
  </w:style>
  <w:style w:type="character" w:customStyle="1" w:styleId="QuoteChar">
    <w:name w:val="Quote Char"/>
    <w:basedOn w:val="DefaultParagraphFont"/>
    <w:link w:val="Quote"/>
    <w:uiPriority w:val="29"/>
    <w:rsid w:val="00B146B6"/>
    <w:rPr>
      <w:i/>
      <w:iCs/>
      <w:color w:val="404040" w:themeColor="text1" w:themeTint="BF"/>
    </w:rPr>
  </w:style>
  <w:style w:type="paragraph" w:styleId="ListParagraph">
    <w:name w:val="List Paragraph"/>
    <w:basedOn w:val="Normal"/>
    <w:uiPriority w:val="34"/>
    <w:qFormat/>
    <w:rsid w:val="00B146B6"/>
    <w:pPr>
      <w:ind w:left="720"/>
      <w:contextualSpacing/>
    </w:pPr>
  </w:style>
  <w:style w:type="character" w:styleId="IntenseEmphasis">
    <w:name w:val="Intense Emphasis"/>
    <w:basedOn w:val="DefaultParagraphFont"/>
    <w:uiPriority w:val="21"/>
    <w:qFormat/>
    <w:rsid w:val="00B146B6"/>
    <w:rPr>
      <w:i/>
      <w:iCs/>
      <w:color w:val="2F5496" w:themeColor="accent1" w:themeShade="BF"/>
    </w:rPr>
  </w:style>
  <w:style w:type="paragraph" w:styleId="IntenseQuote">
    <w:name w:val="Intense Quote"/>
    <w:basedOn w:val="Normal"/>
    <w:next w:val="Normal"/>
    <w:link w:val="IntenseQuoteChar"/>
    <w:uiPriority w:val="30"/>
    <w:qFormat/>
    <w:rsid w:val="00B146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46B6"/>
    <w:rPr>
      <w:i/>
      <w:iCs/>
      <w:color w:val="2F5496" w:themeColor="accent1" w:themeShade="BF"/>
    </w:rPr>
  </w:style>
  <w:style w:type="character" w:styleId="IntenseReference">
    <w:name w:val="Intense Reference"/>
    <w:basedOn w:val="DefaultParagraphFont"/>
    <w:uiPriority w:val="32"/>
    <w:qFormat/>
    <w:rsid w:val="00B146B6"/>
    <w:rPr>
      <w:b/>
      <w:bCs/>
      <w:smallCaps/>
      <w:color w:val="2F5496" w:themeColor="accent1" w:themeShade="BF"/>
      <w:spacing w:val="5"/>
    </w:rPr>
  </w:style>
  <w:style w:type="character" w:styleId="Strong">
    <w:name w:val="Strong"/>
    <w:basedOn w:val="DefaultParagraphFont"/>
    <w:uiPriority w:val="22"/>
    <w:qFormat/>
    <w:rsid w:val="00B146B6"/>
    <w:rPr>
      <w:b/>
      <w:bCs/>
    </w:rPr>
  </w:style>
  <w:style w:type="character" w:customStyle="1" w:styleId="vkekvd">
    <w:name w:val="vkekvd"/>
    <w:basedOn w:val="DefaultParagraphFont"/>
    <w:rsid w:val="00B146B6"/>
  </w:style>
  <w:style w:type="character" w:customStyle="1" w:styleId="ifmvxd">
    <w:name w:val="ifmvxd"/>
    <w:basedOn w:val="DefaultParagraphFont"/>
    <w:rsid w:val="00B146B6"/>
  </w:style>
  <w:style w:type="character" w:customStyle="1" w:styleId="ijm6od">
    <w:name w:val="ijm6od"/>
    <w:basedOn w:val="DefaultParagraphFont"/>
    <w:rsid w:val="00B146B6"/>
  </w:style>
  <w:style w:type="paragraph" w:customStyle="1" w:styleId="df3vjf">
    <w:name w:val="df3vjf"/>
    <w:basedOn w:val="Normal"/>
    <w:rsid w:val="00B146B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286pc">
    <w:name w:val="t286pc"/>
    <w:basedOn w:val="DefaultParagraphFont"/>
    <w:rsid w:val="00B146B6"/>
  </w:style>
  <w:style w:type="character" w:styleId="Emphasis">
    <w:name w:val="Emphasis"/>
    <w:basedOn w:val="DefaultParagraphFont"/>
    <w:uiPriority w:val="20"/>
    <w:qFormat/>
    <w:rsid w:val="00B146B6"/>
    <w:rPr>
      <w:i/>
      <w:iCs/>
    </w:rPr>
  </w:style>
  <w:style w:type="character" w:styleId="Hyperlink">
    <w:name w:val="Hyperlink"/>
    <w:basedOn w:val="DefaultParagraphFont"/>
    <w:uiPriority w:val="99"/>
    <w:unhideWhenUsed/>
    <w:rsid w:val="00B146B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as.gov.sg/regulation/explainers/tdsr-for-property-loans/calculating-tdsr" TargetMode="External"/><Relationship Id="rId5" Type="http://schemas.openxmlformats.org/officeDocument/2006/relationships/hyperlink" Target="https://www.finscore.ph/what-is-debt-to-income-rat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853</Words>
  <Characters>4864</Characters>
  <Application>Microsoft Office Word</Application>
  <DocSecurity>0</DocSecurity>
  <Lines>40</Lines>
  <Paragraphs>11</Paragraphs>
  <ScaleCrop>false</ScaleCrop>
  <Company/>
  <LinksUpToDate>false</LinksUpToDate>
  <CharactersWithSpaces>5706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Ngolab</dc:creator>
  <cp:keywords/>
  <dc:description/>
  <cp:lastModifiedBy>Jesse Ngolab</cp:lastModifiedBy>
  <cp:revision>1</cp:revision>
  <dcterms:created xsi:type="dcterms:W3CDTF">2026-04-16T19:57:00Z</dcterms:created>
  <dcterms:modified xsi:type="dcterms:W3CDTF">2026-04-16T20:05:00Z</dcterms:modified>
</cp:coreProperties>
</file>