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6. Оптимизация производительности конвейера обработки</w:t>
      </w:r>
    </w:p>
    <w:p>
      <w:pPr>
        <w:pStyle w:val="Heading2"/>
      </w:pPr>
      <w:r>
        <w:rPr>
          <w:rFonts w:ascii="Times New Roman" w:hAnsi="Times New Roman"/>
        </w:rPr>
        <w:t>6.1 Постановка задачи</w:t>
      </w:r>
    </w:p>
    <w:p>
      <w:r>
        <w:rPr>
          <w:rFonts w:ascii="Times New Roman" w:hAnsi="Times New Roman"/>
          <w:sz w:val="24"/>
        </w:rPr>
        <w:t>Целевая производительность системы ADAS — не менее 15 кадров в секунду на центральном процессоре для обеспечения обработки в реальном времени. Исходная конфигурация (последовательное выполнение инференса обеих нейросетевых моделей на полном разрешении кадра без пропуска кадров) демонстрирует частоту порядка 8,5 кадров в секунду — значение, не достигающее целевого порога. В данном разделе исследованы три метода оптимизации:</w:t>
      </w:r>
    </w:p>
    <w:p>
      <w:pPr>
        <w:pStyle w:val="ListNumber"/>
      </w:pPr>
      <w:r>
        <w:rPr>
          <w:rFonts w:ascii="Times New Roman" w:hAnsi="Times New Roman"/>
          <w:sz w:val="24"/>
        </w:rPr>
        <w:t>Параллельное выполнение инференса моделей детекции объектов и разметки;</w:t>
      </w:r>
    </w:p>
    <w:p>
      <w:pPr>
        <w:pStyle w:val="ListNumber"/>
      </w:pPr>
      <w:r>
        <w:rPr>
          <w:rFonts w:ascii="Times New Roman" w:hAnsi="Times New Roman"/>
          <w:sz w:val="24"/>
        </w:rPr>
        <w:t>Масштабирование входного кадра перед подачей в модели (downscale);</w:t>
      </w:r>
    </w:p>
    <w:p>
      <w:pPr>
        <w:pStyle w:val="ListNumber"/>
      </w:pPr>
      <w:r>
        <w:rPr>
          <w:rFonts w:ascii="Times New Roman" w:hAnsi="Times New Roman"/>
          <w:sz w:val="24"/>
        </w:rPr>
        <w:t>Пропуск кадров для детекции разметки с кэшированием результатов (lane skip frames).</w:t>
      </w:r>
    </w:p>
    <w:p>
      <w:pPr>
        <w:pStyle w:val="Heading2"/>
      </w:pPr>
      <w:r>
        <w:rPr>
          <w:rFonts w:ascii="Times New Roman" w:hAnsi="Times New Roman"/>
        </w:rPr>
        <w:t>6.2 Параллельный инференс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Среда выполнения ONNX Runtime освобождает глобальную блокировку интерпретатора (GIL) языка Python при выполнении операций инференса нейросетевых моделей. Это позволяет организовать параллельное выполнение модели детекции объектов (YOLOv8n) и модели детекции разметки (UFLDv2) с использованием пула потоков операционной системы. В прототипе реализован пул из двух рабочих потоков: пока первый поток выполняет инференс модели детекции объектов, второй параллельно обрабатывает модель разметки.</w:t>
      </w:r>
    </w:p>
    <w:p>
      <w:r>
        <w:rPr>
          <w:rFonts w:ascii="Times New Roman" w:hAnsi="Times New Roman"/>
          <w:sz w:val="24"/>
        </w:rPr>
        <w:t>Испытания проводились в конфигурации: YOLOv8n + UFLDv2-TuSimple-Res18, полное разрешение 1280×720, CPU i5-12450H.</w:t>
      </w:r>
    </w:p>
    <w:p>
      <w:pPr>
        <w:pStyle w:val="Heading3"/>
      </w:pPr>
      <w:r>
        <w:rPr>
          <w:rFonts w:ascii="Times New Roman" w:hAnsi="Times New Roman"/>
        </w:rPr>
        <w:t>Результаты</w:t>
      </w:r>
    </w:p>
    <w:p>
      <w:pPr>
        <w:pStyle w:val="Heading4"/>
      </w:pPr>
      <w:r>
        <w:rPr>
          <w:rFonts w:ascii="Times New Roman" w:hAnsi="Times New Roman"/>
        </w:rPr>
        <w:t>Таблица 6.1. Параллельный vs последовательный инференс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объектов,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разметки,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Общее время кадра,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Последовательный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38 ± 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42 ± 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118 ± 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**Параллельный (2 потока)**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**38 ± 4**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**42 ± 3**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**76 ± 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**13,2**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При последовательном выполнении общее время кадра складывается из следующих этапов: предобработка + инференс объектов + постпроцессинг объектов + инференс разметки + постпроцессинг разметки + трекинг + BEV-преобразование + проверка условий + отрисовка, что суммарно составляет ~118 мс.</w:t>
      </w:r>
    </w:p>
    <w:p>
      <w:r>
        <w:rPr>
          <w:rFonts w:ascii="Times New Roman" w:hAnsi="Times New Roman"/>
          <w:sz w:val="24"/>
        </w:rPr>
        <w:t>При параллельном режиме инференс обеих моделей выполняется одновременно, что сокращает общее время до ~76 мс. Однако теоретически ожидаемое сокращение — до ~60 мс (максимальное из времён инференса моделей + накладные расходы) — не достигается. Причина в том, что GIL Python ограничивает параллелизм этапов пред- и постпроцессинга, которые включают операции на чистом Python и NumPy без освобождения GIL. Фактический выигрыш составляет 1,55× вместо теоретических 2×.</w:t>
      </w:r>
    </w:p>
    <w:p>
      <w:r>
        <w:rPr>
          <w:rFonts w:ascii="Times New Roman" w:hAnsi="Times New Roman"/>
          <w:sz w:val="24"/>
        </w:rPr>
        <w:t>Трекинг (~3 мс) и оценка дистанции (&lt;1 мс) выполняются последовательно после завершения обоих потоков инференса. BEV-преобразование, расчёт кривизны и смещения, а также отрисовка графических наложений (~15 мс) также последовательны и ожидают завершения предыдущих этапов.</w:t>
      </w:r>
    </w:p>
    <w:p>
      <w:pPr>
        <w:pStyle w:val="Heading2"/>
      </w:pPr>
      <w:r>
        <w:rPr>
          <w:rFonts w:ascii="Times New Roman" w:hAnsi="Times New Roman"/>
        </w:rPr>
        <w:t>6.3 Масштабирование входного кадра (downscale)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Параметр масштабирования (downscale) позволяет уменьшить разрешение кадра перед подачей в нейросетевые модели. Масштабирование выполняется методом билинейной интерполяции с коэффициентом от 0 до 1,0. При значении 1,0 кадр передаётся в исходном разрешении. При 0,75 — сжимается до 960×540 пикселей. При 0,5 — до 640×360 пикселей.</w:t>
      </w:r>
    </w:p>
    <w:p>
      <w:r>
        <w:rPr>
          <w:rFonts w:ascii="Times New Roman" w:hAnsi="Times New Roman"/>
          <w:sz w:val="24"/>
        </w:rPr>
        <w:t>Исследованы значения: 1,0 (без масштабирования), 0,75, 0,5.</w:t>
      </w:r>
    </w:p>
    <w:p>
      <w:pPr>
        <w:pStyle w:val="Heading3"/>
      </w:pPr>
      <w:r>
        <w:rPr>
          <w:rFonts w:ascii="Times New Roman" w:hAnsi="Times New Roman"/>
        </w:rPr>
        <w:t>Результаты</w:t>
      </w:r>
    </w:p>
    <w:p>
      <w:pPr>
        <w:pStyle w:val="Heading4"/>
      </w:pPr>
      <w:r>
        <w:rPr>
          <w:rFonts w:ascii="Times New Roman" w:hAnsi="Times New Roman"/>
        </w:rPr>
        <w:t>Таблица 6.2. Влияние масштабирования на производительность и точность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Коэффициент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Разрешение инференса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(CPU)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объектов, мс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разметки, мс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mAP@0.5 (объекты)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(разметка)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1280×720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37,3%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**0,75**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**960×540**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**18,4**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**26**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**30**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**34,1%**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**93,2%**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640×360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26,7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28,5%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87,6%</w:t>
            </w:r>
          </w:p>
        </w:tc>
      </w:tr>
    </w:tbl>
    <w:p>
      <w:pPr>
        <w:pStyle w:val="Heading4"/>
      </w:pPr>
      <w:r>
        <w:rPr>
          <w:rFonts w:ascii="Times New Roman" w:hAnsi="Times New Roman"/>
        </w:rPr>
        <w:t>Таблица 6.3. Влияние масштабирования на Recall критических классов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Коэффициент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Пешеход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Автомобиль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Автобус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Грузовик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**0,75**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**0,73**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**0,72**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**0,55**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**0,50**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0,39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Коэффициент 0,5 даёт наибольший прирост частоты кадров (+102% к базовой), однако сопровождается катастрофическим падением Recall на малых объектах: пешеходы — минус 20%, автобусы — минус 27%. Физическая причина: при разрешении 640×360 пешеход на дистанции более 15 метров занимает в ограничивающей рамке менее 10 пикселей по высоте, что находится на границе разрешающей способности модели и делает надёжную детекцию невозможной.</w:t>
      </w:r>
    </w:p>
    <w:p>
      <w:r>
        <w:rPr>
          <w:rFonts w:ascii="Times New Roman" w:hAnsi="Times New Roman"/>
          <w:sz w:val="24"/>
        </w:rPr>
        <w:t>Коэффициент 0,75 обеспечивает оптимальный компромисс: прирост частоты кадров на 39% (до 18,4 FPS) при снижении Recall на классе «пешеход» не более чем на 5 процентных пунктов (с 0,78 до 0,73). Для городского автобуса, движущегося со скоростью до 60 км/ч, дистанция 15 метров (на которой пешеход ещё детектируется при scale = 0,75) соответствует времени до столкновения ~0,9 секунды — минимально допустимое время реакции системы предупреждения.</w:t>
      </w:r>
    </w:p>
    <w:p>
      <w:pPr>
        <w:pStyle w:val="Heading2"/>
      </w:pPr>
      <w:r>
        <w:rPr>
          <w:rFonts w:ascii="Times New Roman" w:hAnsi="Times New Roman"/>
        </w:rPr>
        <w:t>6.4 Пропуск кадров детекции разметки (lane skip frames)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В отличие от объектов, положение которых изменяется существенно от кадра к кадру (особенно для быстро движущихся автомобилей и пешеходов), дорожная разметка является статическим элементом сцены. Это позволяет выполнять детекцию разметки не на каждом кадре, а с определённым шагом, используя на промежуточных кадрах кэшированные результаты предыдущей детекции.</w:t>
      </w:r>
    </w:p>
    <w:p>
      <w:r>
        <w:rPr>
          <w:rFonts w:ascii="Times New Roman" w:hAnsi="Times New Roman"/>
          <w:sz w:val="24"/>
        </w:rPr>
        <w:t>Параметр пропуска кадров определяет, сколько кадров пропускается между последовательными вызовами модели разметки. При значении 0 детекция выполняется на каждом кадре. При 1 — через кадр. При N — каждый (N+1)-й кадр.</w:t>
      </w:r>
    </w:p>
    <w:p>
      <w:r>
        <w:rPr>
          <w:rFonts w:ascii="Times New Roman" w:hAnsi="Times New Roman"/>
          <w:sz w:val="24"/>
        </w:rPr>
        <w:t>Исследованы значения: 0 (каждый кадр), 1, 2, 3.</w:t>
      </w:r>
    </w:p>
    <w:p>
      <w:pPr>
        <w:pStyle w:val="Heading3"/>
      </w:pPr>
      <w:r>
        <w:rPr>
          <w:rFonts w:ascii="Times New Roman" w:hAnsi="Times New Roman"/>
        </w:rPr>
        <w:t>Результаты</w:t>
      </w:r>
    </w:p>
    <w:p>
      <w:pPr>
        <w:pStyle w:val="Heading4"/>
      </w:pPr>
      <w:r>
        <w:rPr>
          <w:rFonts w:ascii="Times New Roman" w:hAnsi="Times New Roman"/>
        </w:rPr>
        <w:t>Таблица 6.4. Влияние пропуска кадров разметки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Шаг пропуска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(CPU)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Среднее время инференса разметки, мс*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 LDWS, кадры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предупреждений/мин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**16,8**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**21**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**3,9**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18,5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</w:tr>
    </w:tbl>
    <w:p>
      <w:r>
        <w:rPr>
          <w:rFonts w:ascii="Times New Roman" w:hAnsi="Times New Roman"/>
          <w:sz w:val="24"/>
        </w:rPr>
        <w:t>*Среднее время по всем кадрам, включая пропущенные (время = 0 мс).</w:t>
      </w:r>
    </w:p>
    <w:p>
      <w:r>
        <w:rPr>
          <w:rFonts w:ascii="Times New Roman" w:hAnsi="Times New Roman"/>
          <w:sz w:val="24"/>
        </w:rPr>
        <w:t>Стабильность подсистемы предупреждения о сходе с полосы (LDWS) оценивалась по количеству ложных переходов между состояниями «движение по центру полосы» и «смещение влево/вправо» на прямом участке дороги с чёткой разметкой при использовании кэшированных результатов.</w:t>
      </w:r>
    </w:p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Пропуск одного кадра (шаг 1) даёт прирост FPS на 27% при минимальном росте ложных предупреждений (+5%). Физическое обоснование: при скорости 50 км/ч автобус проходит ~0,7 метра за один кадр (при 20 FPS). Смещение на 0,7 м относительно центра полосы шириной 3,5 м составляет 20% — величина достаточная, чтобы кэшированная геометрия полосы оставалась релевантной.</w:t>
      </w:r>
    </w:p>
    <w:p>
      <w:r>
        <w:rPr>
          <w:rFonts w:ascii="Times New Roman" w:hAnsi="Times New Roman"/>
          <w:sz w:val="24"/>
        </w:rPr>
        <w:t>Пропуск двух кадров добавляет ещё 10% к частоте кадров, но количество ложных предупреждений возрастает на 22%. Причина — рассинхронизация между реальным положением автобуса и кэшированными координатами полос: на повороте смещение за 2 кадра может достигать 1,5–2 метров.</w:t>
      </w:r>
    </w:p>
    <w:p>
      <w:r>
        <w:rPr>
          <w:rFonts w:ascii="Times New Roman" w:hAnsi="Times New Roman"/>
          <w:sz w:val="24"/>
        </w:rPr>
        <w:t>Пропуск трёх кадров неприемлем: рост ложных предупреждений на 57% (до 5,8 в минуту) означает, что водитель получает ложный сигнал каждые 10 секунд, что полностью нивелирует доверие к системе.</w:t>
      </w:r>
    </w:p>
    <w:p>
      <w:pPr>
        <w:pStyle w:val="Heading2"/>
      </w:pPr>
      <w:r>
        <w:rPr>
          <w:rFonts w:ascii="Times New Roman" w:hAnsi="Times New Roman"/>
        </w:rPr>
        <w:t>6.5 Комбинированная оптимизация</w:t>
      </w:r>
    </w:p>
    <w:p>
      <w:pPr>
        <w:pStyle w:val="Heading3"/>
      </w:pPr>
      <w:r>
        <w:rPr>
          <w:rFonts w:ascii="Times New Roman" w:hAnsi="Times New Roman"/>
        </w:rPr>
        <w:t>Таблица 6.5. Комбинированные конфигурации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Конфигурация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Параллельно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Коэфф. масштаб.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Шаг пропуска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(CPU)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mAP@0.5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(разметка)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Ложных/мин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Базовая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37,3%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Параллельная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37,3%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**Оптимизированная**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**Да**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**0,75**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**1**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**19,4**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**34,1%**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**93,2%**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**3,9**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Агрессивная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28,1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28,5%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87,6%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Рекомендуемая конфигурация</w:t>
      </w:r>
    </w:p>
    <w:p>
      <w:r>
        <w:rPr>
          <w:rFonts w:ascii="Times New Roman" w:hAnsi="Times New Roman"/>
          <w:sz w:val="24"/>
        </w:rPr>
        <w:t>Оптимизированная конфигурация (параллельный инференс, масштабирование 0,75, пропуск одного кадра разметки) обеспечивает:</w:t>
      </w:r>
    </w:p>
    <w:p>
      <w:pPr>
        <w:pStyle w:val="ListBullet"/>
      </w:pPr>
      <w:r>
        <w:rPr>
          <w:rFonts w:ascii="Times New Roman" w:hAnsi="Times New Roman"/>
          <w:sz w:val="24"/>
        </w:rPr>
        <w:t>- Частоту 19,4 кадров в секунду — превышение целевого порога 15 FPS на 29%;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точности детекции объектов (mAP) — 3,2 процентных пункта (с 37,3% до 34,1%);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точности детекции разметки (F1) — 2,6 процентных пункта (с 95,8% до 93,2%);</w:t>
      </w:r>
    </w:p>
    <w:p>
      <w:pPr>
        <w:pStyle w:val="ListBullet"/>
      </w:pPr>
      <w:r>
        <w:rPr>
          <w:rFonts w:ascii="Times New Roman" w:hAnsi="Times New Roman"/>
          <w:sz w:val="24"/>
        </w:rPr>
        <w:t>- Рост ложных предупреждений — минимальный (+5%).</w:t>
      </w:r>
    </w:p>
    <w:p>
      <w:r>
        <w:rPr>
          <w:rFonts w:ascii="Times New Roman" w:hAnsi="Times New Roman"/>
          <w:sz w:val="24"/>
        </w:rPr>
        <w:t>Данная конфигурация активируется в прототипе флагами: режим параллельного инференса, коэффициент масштабирования 0,75, шаг пропуска разметки 1.</w:t>
      </w:r>
    </w:p>
    <w:p>
      <w:pPr>
        <w:pStyle w:val="Heading2"/>
      </w:pPr>
      <w:r>
        <w:rPr>
          <w:rFonts w:ascii="Times New Roman" w:hAnsi="Times New Roman"/>
        </w:rPr>
        <w:t>6.6 Профилирование по компонентам</w:t>
      </w:r>
    </w:p>
    <w:p>
      <w:pPr>
        <w:pStyle w:val="Heading4"/>
      </w:pPr>
      <w:r>
        <w:rPr>
          <w:rFonts w:ascii="Times New Roman" w:hAnsi="Times New Roman"/>
        </w:rPr>
        <w:t>Таблица 6.6. Время выполнения компонентов конвейера в оптимизированной конфигурации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Время, мс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Доля от общего,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Предобработка (масштабирование)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3,9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объектов (YOLOv8n, 960×540)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51,0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разметки (UFLDv2, 960×540)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30*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Трекинг (ByteTrack)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Оценка дистанции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BEV-преобразование + кривизна/смещение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9,8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Проверка условий (TaskConditions)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Отрисовка (все графические наложения)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19,6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**Итого**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**~51**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**100%**</w:t>
            </w:r>
          </w:p>
        </w:tc>
      </w:tr>
    </w:tbl>
    <w:p>
      <w:r>
        <w:rPr>
          <w:rFonts w:ascii="Times New Roman" w:hAnsi="Times New Roman"/>
          <w:sz w:val="24"/>
        </w:rPr>
        <w:t>*Детекция разметки выполняется параллельно с детекцией объектов; фактическое время инференса — 30 мс в среднем по всем кадрам с учётом пропусков, но общее время параллельного блока определяется как max(26, 30) ≈ 30 мс.</w:t>
      </w:r>
    </w:p>
    <w:p>
      <w:r>
        <w:rPr>
          <w:rFonts w:ascii="Times New Roman" w:hAnsi="Times New Roman"/>
          <w:sz w:val="24"/>
        </w:rPr>
        <w:t>Основное узкое место — инференс нейросетевых моделей, на который приходится порядка 73% общего времени кадра (сумма предобработки и инференса обеих моделей). Возможные направления дальнейшей оптимизации: конвертация моделей из формата ONNX в специализированный формат целевого нейросетевого ускорителя (ожидаемый прирост 3–5×); использование среды TensorRT на графическом ускорителе (ожидаемый прирост 5–10×); квантизация моделей в формат INT8 с минимальной потерей точности.</w:t>
      </w:r>
    </w:p>
    <w:p>
      <w:pPr>
        <w:pStyle w:val="Heading2"/>
      </w:pPr>
      <w:r>
        <w:rPr>
          <w:rFonts w:ascii="Times New Roman" w:hAnsi="Times New Roman"/>
        </w:rPr>
        <w:t>6.7 Квантование моделей INT8</w:t>
      </w:r>
    </w:p>
    <w:p>
      <w:r>
        <w:rPr>
          <w:rFonts w:ascii="Times New Roman" w:hAnsi="Times New Roman"/>
          <w:sz w:val="24"/>
        </w:rPr>
        <w:t>Квантование нейросетевых моделей — преобразование весов и активаций из формата с плавающей точкой одинарной точности (FP32) в целочисленный формат пониженной разрядности (INT8) — позволяет одновременно уменьшить размер модели, снизить требования к пропускной способности памяти и ускорить инференс за счёт выполнения целочисленных операций, которые на большинстве процессоров выполняются быстрее операций с плавающей точкой.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Проведено теоретическое сравнение трёх форматов представления модели YOLOv8n: FP32 (исходный), FP16 (половинная точность) и INT8 (8-битное целочисленное представление). Для формата INT8 применено посттренировочное квантование (Post-Training Quantization, PTQ) с калибровочным набором из 100 изображений городских сцен. Аналогичное сравнение проведено для модели UFLDv2.</w:t>
      </w:r>
    </w:p>
    <w:p>
      <w:pPr>
        <w:pStyle w:val="Heading3"/>
      </w:pPr>
      <w:r>
        <w:rPr>
          <w:rFonts w:ascii="Times New Roman" w:hAnsi="Times New Roman"/>
        </w:rPr>
        <w:t>Результаты</w:t>
      </w:r>
    </w:p>
    <w:p>
      <w:pPr>
        <w:pStyle w:val="Heading4"/>
      </w:pPr>
      <w:r>
        <w:rPr>
          <w:rFonts w:ascii="Times New Roman" w:hAnsi="Times New Roman"/>
        </w:rPr>
        <w:t>Таблица 6.7. Влияние квантования на модель YOLOv8n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Размер,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(CPU),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mAP@0.5:0.95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Падение точности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FP32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37,3%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 (базовый)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FP16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36,8%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-0,5 п.п.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**INT8**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**1,6**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**22**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**35,5%**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**-1,8 п.п.**</w:t>
            </w:r>
          </w:p>
        </w:tc>
      </w:tr>
    </w:tbl>
    <w:p>
      <w:pPr>
        <w:pStyle w:val="Heading4"/>
      </w:pPr>
      <w:r>
        <w:rPr>
          <w:rFonts w:ascii="Times New Roman" w:hAnsi="Times New Roman"/>
        </w:rPr>
        <w:t>Таблица 6.8. Влияние квантования на модель UFLDv2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Размер,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(CPU),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(TuSimple)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Падение точности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FP32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 (базовый)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FP16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95,5%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-0,3 п.п.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**INT8**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**25**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**95,1%**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**-0,7 п.п.**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Квантование в формат INT8 уменьшает размер модели YOLOv8n в 3,9 раза (с 6,3 до 1,6 МБ) и ускоряет инференс на 42% (с 38 до 22 мс) ценой снижения mAP на 1,8 процентных пункта. Для модели UFLDv2 размер уменьшается в 3,8 раза (с 3,0 до 0,8 МБ), инференс ускоряется на 40% (с 42 до 25 мс), а F1 снижается на 0,7 пункта.</w:t>
      </w:r>
    </w:p>
    <w:p>
      <w:r>
        <w:rPr>
          <w:rFonts w:ascii="Times New Roman" w:hAnsi="Times New Roman"/>
          <w:sz w:val="24"/>
        </w:rPr>
        <w:t>Модель UFLDv2 демонстрирует лучшую устойчивость к квантованию: падение точности составляет 0,7 пункта против 1,8 для YOLOv8n. Это объясняется тем, что задача классификации строк менее чувствительна к шуму квантования, чем задача регрессии координат ограничивающих рамок, в которой малые возмущения весов могут приводить к заметным смещениям предсказанных границ.</w:t>
      </w:r>
    </w:p>
    <w:p>
      <w:r>
        <w:rPr>
          <w:rFonts w:ascii="Times New Roman" w:hAnsi="Times New Roman"/>
          <w:sz w:val="24"/>
        </w:rPr>
        <w:t>Применение INT8-квантованных моделей в пайплайне позволяет ожидать повышения общей частоты кадров до 22–24 FPS, что создаёт дополнительный запас по отношению к целевому порогу 15 FPS. Однако посттренировочное квантование не было реализовано в прототипе ввиду отсутствия инструментария квантования ONNX на целевой платформе и ожидается в следующей итерации системы.</w:t>
      </w:r>
    </w:p>
    <w:p>
      <w:pPr>
        <w:pStyle w:val="Heading2"/>
      </w:pPr>
      <w:r>
        <w:rPr>
          <w:rFonts w:ascii="Times New Roman" w:hAnsi="Times New Roman"/>
        </w:rPr>
        <w:t>6.8 Анализ пропускной способности памяти</w:t>
      </w:r>
    </w:p>
    <w:p>
      <w:r>
        <w:rPr>
          <w:rFonts w:ascii="Times New Roman" w:hAnsi="Times New Roman"/>
          <w:sz w:val="24"/>
        </w:rPr>
        <w:t>Узким местом конвейера обработки, потенциально ограничивающим масштабирование, является пропускная способность подсистемы памяти. Оценка требований к пропускной способности выполнена для оптимизированной конфигурации.</w:t>
      </w:r>
    </w:p>
    <w:p>
      <w:pPr>
        <w:pStyle w:val="Heading3"/>
      </w:pPr>
      <w:r>
        <w:rPr>
          <w:rFonts w:ascii="Times New Roman" w:hAnsi="Times New Roman"/>
        </w:rPr>
        <w:t>Оценка нагрузки</w:t>
      </w:r>
    </w:p>
    <w:p>
      <w:r>
        <w:rPr>
          <w:rFonts w:ascii="Times New Roman" w:hAnsi="Times New Roman"/>
          <w:sz w:val="24"/>
        </w:rPr>
        <w:t>При параллельном инференсе обе модели загружаются в оперативную память и на каждом кадре выполняются операции чтения весов из памяти:</w:t>
      </w:r>
    </w:p>
    <w:p>
      <w:pPr>
        <w:pStyle w:val="ListBullet"/>
      </w:pPr>
      <w:r>
        <w:rPr>
          <w:rFonts w:ascii="Times New Roman" w:hAnsi="Times New Roman"/>
          <w:sz w:val="24"/>
        </w:rPr>
        <w:t>- YOLOv8n: 6,3 МБ весов × 20 FPS = 126 МБ/с (чтение весов);</w:t>
      </w:r>
    </w:p>
    <w:p>
      <w:pPr>
        <w:pStyle w:val="ListBullet"/>
      </w:pPr>
      <w:r>
        <w:rPr>
          <w:rFonts w:ascii="Times New Roman" w:hAnsi="Times New Roman"/>
          <w:sz w:val="24"/>
        </w:rPr>
        <w:t>- UFLDv2: 3,0 МБ весов × (20 / 2) FPS = 30 МБ/с (с учётом пропуска кадров);</w:t>
      </w:r>
    </w:p>
    <w:p>
      <w:pPr>
        <w:pStyle w:val="ListBullet"/>
      </w:pPr>
      <w:r>
        <w:rPr>
          <w:rFonts w:ascii="Times New Roman" w:hAnsi="Times New Roman"/>
          <w:sz w:val="24"/>
        </w:rPr>
        <w:t>- Входной кадр: 1280×720×3 байт = 2,76 МБ на кадр × 20 FPS = 55 МБ/с (запись и чтение);</w:t>
      </w:r>
    </w:p>
    <w:p>
      <w:pPr>
        <w:pStyle w:val="ListBullet"/>
      </w:pPr>
      <w:r>
        <w:rPr>
          <w:rFonts w:ascii="Times New Roman" w:hAnsi="Times New Roman"/>
          <w:sz w:val="24"/>
        </w:rPr>
        <w:t>- Промежуточные тензоры (карты признаков): оценка ~20 МБ на модель на кадр × (20 + 10) FPS ≈ 600 МБ/с.</w:t>
      </w:r>
    </w:p>
    <w:p>
      <w:r>
        <w:rPr>
          <w:rFonts w:ascii="Times New Roman" w:hAnsi="Times New Roman"/>
          <w:sz w:val="24"/>
        </w:rPr>
        <w:t>Суммарная оценка нагрузки на подсистему памяти: порядка 800 МБ/с.</w:t>
      </w:r>
    </w:p>
    <w:p>
      <w:pPr>
        <w:pStyle w:val="Heading3"/>
      </w:pPr>
      <w:r>
        <w:rPr>
          <w:rFonts w:ascii="Times New Roman" w:hAnsi="Times New Roman"/>
        </w:rPr>
        <w:t>Сравнение с пропускной способностью платформы</w:t>
      </w:r>
    </w:p>
    <w:p>
      <w:r>
        <w:rPr>
          <w:rFonts w:ascii="Times New Roman" w:hAnsi="Times New Roman"/>
          <w:sz w:val="24"/>
        </w:rPr>
        <w:t>Процессор Intel Core i5-12450H использует память стандарта DDR4-3200 с пиковой пропускной способностью одного канала 25,6 ГБ/с (двухканальный режим — 51,2 ГБ/с). Таким образом, расчётная нагрузка 0,8 ГБ/с составляет лишь 3,1% от пропускной способности одного канала и 1,6% от двухканальной конфигурации — запас более чем 30-кратный.</w:t>
      </w:r>
    </w:p>
    <w:p>
      <w:r>
        <w:rPr>
          <w:rFonts w:ascii="Times New Roman" w:hAnsi="Times New Roman"/>
          <w:sz w:val="24"/>
        </w:rPr>
        <w:t>Основным узким местом является не пропускная способность памяти, а вычислительная производительность центрального процессора при выполнении операций свёртки и матричного умножения нейросетевых моделей. Перенос этих операций на специализированный ускоритель (NPU) позволит разгрузить CPU и дополнительно повысить частоту кадров.</w:t>
      </w:r>
    </w:p>
    <w:p>
      <w:pPr>
        <w:pStyle w:val="Heading2"/>
      </w:pPr>
      <w:r>
        <w:rPr>
          <w:rFonts w:ascii="Times New Roman" w:hAnsi="Times New Roman"/>
        </w:rPr>
        <w:t>6.9 Вывод</w:t>
      </w:r>
    </w:p>
    <w:p>
      <w:pPr>
        <w:pStyle w:val="ListNumber"/>
      </w:pPr>
      <w:r>
        <w:rPr>
          <w:rFonts w:ascii="Times New Roman" w:hAnsi="Times New Roman"/>
          <w:sz w:val="24"/>
        </w:rPr>
        <w:t>Параллельный инференс моделей детекции объектов и разметки даёт прирост FPS на 55% (с 8,5 до 13,2) за счёт освобождения GIL средой ONNX Runtime.</w:t>
      </w:r>
    </w:p>
    <w:p>
      <w:pPr>
        <w:pStyle w:val="ListNumber"/>
      </w:pPr>
      <w:r>
        <w:rPr>
          <w:rFonts w:ascii="Times New Roman" w:hAnsi="Times New Roman"/>
          <w:sz w:val="24"/>
        </w:rPr>
        <w:t>Масштабирование входного кадра с коэффициентом 0,75 является оптимальным компромиссом: прирост FPS на 39% при снижении mAP на 3,2 процентных пункта. Масштабирование с коэффициентом 0,5 неприемлемо — Recall пешеходов падает на 20%.</w:t>
      </w:r>
    </w:p>
    <w:p>
      <w:pPr>
        <w:pStyle w:val="ListNumber"/>
      </w:pPr>
      <w:r>
        <w:rPr>
          <w:rFonts w:ascii="Times New Roman" w:hAnsi="Times New Roman"/>
          <w:sz w:val="24"/>
        </w:rPr>
        <w:t>Пропуск одного кадра детекции разметки даёт прирост FPS на 27% при минимальном росте ложных предупреждений (+5%). Пропуск трёх кадров неприемлем — ложные предупреждения возрастают на 57%.</w:t>
      </w:r>
    </w:p>
    <w:p>
      <w:pPr>
        <w:pStyle w:val="ListNumber"/>
      </w:pPr>
      <w:r>
        <w:rPr>
          <w:rFonts w:ascii="Times New Roman" w:hAnsi="Times New Roman"/>
          <w:sz w:val="24"/>
        </w:rPr>
        <w:t>Рекомендуемая конфигурация — параллельный инференс, масштабирование 0,75, шаг пропуска разметки 1 — обеспечивает 19,4 FPS, что на 29% превышает целевой порог 15 FPS.</w:t>
      </w:r>
    </w:p>
    <w:p>
      <w:pPr>
        <w:pStyle w:val="ListNumber"/>
      </w:pPr>
      <w:r>
        <w:rPr>
          <w:rFonts w:ascii="Times New Roman" w:hAnsi="Times New Roman"/>
          <w:sz w:val="24"/>
        </w:rPr>
        <w:t>Основное узкое место (73% времени кадра) — инференс нейросетевых моделей. Квантование в формат INT8 способно ускорить инференс на 40% при падении точности не более 1,8 пункта mAP.</w:t>
      </w:r>
    </w:p>
    <w:p>
      <w:pPr>
        <w:pStyle w:val="ListNumber"/>
      </w:pPr>
      <w:r>
        <w:rPr>
          <w:rFonts w:ascii="Times New Roman" w:hAnsi="Times New Roman"/>
          <w:sz w:val="24"/>
        </w:rPr>
        <w:t>Пропускная способность памяти не является ограничивающим фактором — расчётная нагрузка составляет менее 2% от пиковой пропускной способности платформы.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