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7. Пороги предупреждений и временная стабилизация решений</w:t>
      </w:r>
    </w:p>
    <w:p>
      <w:pPr>
        <w:pStyle w:val="Heading2"/>
      </w:pPr>
      <w:r>
        <w:rPr>
          <w:rFonts w:ascii="Times New Roman" w:hAnsi="Times New Roman"/>
        </w:rPr>
        <w:t>7.1 Постановка задачи</w:t>
      </w:r>
    </w:p>
    <w:p>
      <w:r>
        <w:rPr>
          <w:rFonts w:ascii="Times New Roman" w:hAnsi="Times New Roman"/>
          <w:sz w:val="24"/>
        </w:rPr>
        <w:t>Модуль анализа дорожной ситуации и выдачи предупреждений реализует пороговую логику и временную стабилизацию для трёх подсистем: предупреждения о фронтальном столкновении (FCWS), предупреждения о сходе с полосы (LDWS) и помощи в удержании полосы (LKAS). От выбора пороговых значений и размера кольцевого буфера накопления данных зависят три противоречивых показателя качества:</w:t>
      </w:r>
    </w:p>
    <w:p>
      <w:pPr>
        <w:pStyle w:val="ListBullet"/>
      </w:pPr>
      <w:r>
        <w:rPr>
          <w:rFonts w:ascii="Times New Roman" w:hAnsi="Times New Roman"/>
          <w:sz w:val="24"/>
        </w:rPr>
        <w:t>- Количество ложных предупреждений — сигналы, выдаваемые водителю при отсутствии реальной угрозы. Высокий уровень ложных срабатываний приводит к «эффекту плачущего волка»: водитель перестаёт доверять системе и игнорирует все сигналы, включая истинные.</w:t>
      </w:r>
    </w:p>
    <w:p>
      <w:pPr>
        <w:pStyle w:val="ListBullet"/>
      </w:pPr>
      <w:r>
        <w:rPr>
          <w:rFonts w:ascii="Times New Roman" w:hAnsi="Times New Roman"/>
          <w:sz w:val="24"/>
        </w:rPr>
        <w:t>- Количество пропущенных предупреждений — ситуации, в которых реальная угроза существует, но система не выдала сигнал. Каждый пропуск — потенциально пропущенная возможность предотвратить столкновение или сход с полосы.</w:t>
      </w:r>
    </w:p>
    <w:p>
      <w:pPr>
        <w:pStyle w:val="ListBullet"/>
      </w:pPr>
      <w:r>
        <w:rPr>
          <w:rFonts w:ascii="Times New Roman" w:hAnsi="Times New Roman"/>
          <w:sz w:val="24"/>
        </w:rPr>
        <w:t>- Задержка предупреждения — время от момента возникновения угрозы до момента выдачи сигнала. Избыточная буферизация увеличивает задержку и может привести к тому, что предупреждение поступит слишком поздно для реакции водителя.</w:t>
      </w:r>
    </w:p>
    <w:p>
      <w:r>
        <w:rPr>
          <w:rFonts w:ascii="Times New Roman" w:hAnsi="Times New Roman"/>
          <w:sz w:val="24"/>
        </w:rPr>
        <w:t>Цель исследования: найти оптимальные значения параметров, минимизирующие сумму потерь от ложных и пропущенных предупреждений при сохранении задержки в допустимых пределах (не более 0,5 секунды для FCWS, не более 0,3 секунды для LDWS).</w:t>
      </w:r>
    </w:p>
    <w:p>
      <w:pPr>
        <w:pStyle w:val="Heading2"/>
      </w:pPr>
      <w:r>
        <w:rPr>
          <w:rFonts w:ascii="Times New Roman" w:hAnsi="Times New Roman"/>
        </w:rPr>
        <w:t>7.2 Механизм временной стабилизации</w:t>
      </w:r>
    </w:p>
    <w:p>
      <w:r>
        <w:rPr>
          <w:rFonts w:ascii="Times New Roman" w:hAnsi="Times New Roman"/>
          <w:sz w:val="24"/>
        </w:rPr>
        <w:t>Временная стабилизация предупреждений реализована через кольцевой буфер фиксированной длины. На каждом кадре измеренное значение (дистанция до ближайшего объекта, смещение от центра полосы, кривизна дороги) добавляется в буфер. При заполнении буфера до заданного размера принимается решение на основе агрегирующей статистики — медианы накопленных значений. Применение медианы, а не среднего арифметического, обосновано её устойчивостью к выбросам (outliers), характерным для нейросетевой детекции: единичный кадр с ошибочной детекцией, дающей аномальное значение дистанции или смещения, не смещает медиану и не вызывает ложного предупреждения.</w:t>
      </w:r>
    </w:p>
    <w:p>
      <w:r>
        <w:rPr>
          <w:rFonts w:ascii="Times New Roman" w:hAnsi="Times New Roman"/>
          <w:sz w:val="24"/>
        </w:rPr>
        <w:t>Исследованы размеры буферов для трёх подсистем:</w:t>
      </w:r>
    </w:p>
    <w:p>
      <w:pPr>
        <w:pStyle w:val="ListBullet"/>
      </w:pPr>
      <w:r>
        <w:rPr>
          <w:rFonts w:ascii="Times New Roman" w:hAnsi="Times New Roman"/>
          <w:sz w:val="24"/>
        </w:rPr>
        <w:t>- Буфер дистанции столкновения (FCWS): 3, 5, 7, 10 значений;</w:t>
      </w:r>
    </w:p>
    <w:p>
      <w:pPr>
        <w:pStyle w:val="ListBullet"/>
      </w:pPr>
      <w:r>
        <w:rPr>
          <w:rFonts w:ascii="Times New Roman" w:hAnsi="Times New Roman"/>
          <w:sz w:val="24"/>
        </w:rPr>
        <w:t>- Буфер бокового смещения (LDWS): 3, 5, 7, 10 значений;</w:t>
      </w:r>
    </w:p>
    <w:p>
      <w:pPr>
        <w:pStyle w:val="ListBullet"/>
      </w:pPr>
      <w:r>
        <w:rPr>
          <w:rFonts w:ascii="Times New Roman" w:hAnsi="Times New Roman"/>
          <w:sz w:val="24"/>
        </w:rPr>
        <w:t>- Буфер кривизны (LKAS): 5, 10, 15, 20 значений.</w:t>
      </w:r>
    </w:p>
    <w:p>
      <w:r>
        <w:rPr>
          <w:rFonts w:ascii="Times New Roman" w:hAnsi="Times New Roman"/>
          <w:sz w:val="24"/>
        </w:rPr>
        <w:t>Оценка проводилась на двух видеопоследовательностях: nD_1.mp4 (1200 кадров, городская среда с чёткой разметкой) и nD_2.mp4 (разметка частичная, наличие перекрёстков и участков без разметки).</w:t>
      </w:r>
    </w:p>
    <w:p>
      <w:pPr>
        <w:pStyle w:val="Heading2"/>
      </w:pPr>
      <w:r>
        <w:rPr>
          <w:rFonts w:ascii="Times New Roman" w:hAnsi="Times New Roman"/>
        </w:rPr>
        <w:t>7.3 Результаты исследования размера буфера</w:t>
      </w:r>
    </w:p>
    <w:p>
      <w:pPr>
        <w:pStyle w:val="Heading3"/>
      </w:pPr>
      <w:r>
        <w:rPr>
          <w:rFonts w:ascii="Times New Roman" w:hAnsi="Times New Roman"/>
        </w:rPr>
        <w:t>Таблица 7.1. Влияние размера буфера на подсистему FCWS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 буфера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предупреждений/мин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 предупреждений/мин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Задержка, кадры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Задержка, с (при 20 FPS)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**5 (выбрано)**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**2,1**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**5**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**0,25**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7.2. Влияние размера буфера на подсистему LDWS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 буфера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предупреждений/мин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 предупреждений/мин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Задержка, 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12,4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**5 (выбрано)**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**3,7**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**1,2**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**0,25**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2,1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0,35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7.3. Влияние размера буфера на подсистему LKAS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 буфера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Некорректных классификаций/мин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Задержка,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**10 (выбрано)**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**2,3**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**0,50**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1,1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1,00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7.4 Анализ выбора размера буфера</w:t>
      </w:r>
    </w:p>
    <w:p>
      <w:r>
        <w:rPr>
          <w:rFonts w:ascii="Times New Roman" w:hAnsi="Times New Roman"/>
          <w:sz w:val="24"/>
        </w:rPr>
        <w:t>**Подсистема FCWS (буфер 5 значений).** При размере 3 наблюдается чрезмерное количество ложных срабатываний — 8,2 в минуту, в среднем каждые 7 секунд. Такой уровень создаёт эффект десенситизации водителя. При размере 10 задержка достигает 0,5 секунды — на скорости 60 км/ч автобус проходит за это время ~8,3 метра, что сопоставимо с тормозным путём и критично для безопасности. Размер 5 обеспечивает оптимальный баланс: 2,1 ложных срабатывания в минуту при задержке 0,25 секунды (автобус проходит ~4,2 метра).</w:t>
      </w:r>
    </w:p>
    <w:p>
      <w:r>
        <w:rPr>
          <w:rFonts w:ascii="Times New Roman" w:hAnsi="Times New Roman"/>
          <w:sz w:val="24"/>
        </w:rPr>
        <w:t>**Подсистема LDWS (буфер 5 значений).** При размере 3 количество ложных предупреждений достигает 12,4 в минуту — сигнал каждые 5 секунд, что категорически неприемлемо для практической эксплуатации. При размере 7 задержка 0,35 секунды при незначительном улучшении точности не оправдана. Выбран размер 5.</w:t>
      </w:r>
    </w:p>
    <w:p>
      <w:r>
        <w:rPr>
          <w:rFonts w:ascii="Times New Roman" w:hAnsi="Times New Roman"/>
          <w:sz w:val="24"/>
        </w:rPr>
        <w:t>**Подсистема LKAS (буфер 10 значений).** Увеличенный буфер обоснован более медленной динамикой изменения кривизны дороги по сравнению с дистанцией до объекта. Медиана по 10 значениям даёт устойчивую классификацию типа поворота. Буфер 5 слишком чувствителен к шуму детекции кривизны (5,8 некорректных классификаций в минуту), а буфер 20 создаёт задержку 1 секунду — избыточную для предупреждения о резком повороте.</w:t>
      </w:r>
    </w:p>
    <w:p>
      <w:pPr>
        <w:pStyle w:val="Heading3"/>
      </w:pPr>
      <w:r>
        <w:rPr>
          <w:rFonts w:ascii="Times New Roman" w:hAnsi="Times New Roman"/>
        </w:rPr>
        <w:t>Сравнение методов агрегации</w:t>
      </w:r>
    </w:p>
    <w:p>
      <w:pPr>
        <w:pStyle w:val="Heading4"/>
      </w:pPr>
      <w:r>
        <w:rPr>
          <w:rFonts w:ascii="Times New Roman" w:hAnsi="Times New Roman"/>
        </w:rPr>
        <w:t>Таблица 7.4. Медиана vs среднее арифметическое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 агрегации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FCWS/мин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LDWS/мин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Стабильность при окклюзии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Среднее арифметическое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4,8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7,2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Низкая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**Медиана**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**2,1**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**3,7**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**Высокая**</w:t>
            </w:r>
          </w:p>
        </w:tc>
      </w:tr>
    </w:tbl>
    <w:p>
      <w:r>
        <w:rPr>
          <w:rFonts w:ascii="Times New Roman" w:hAnsi="Times New Roman"/>
          <w:sz w:val="24"/>
        </w:rPr>
        <w:t>Применение медианы вместо среднего арифметического снижает количество ложных предупреждений в 2,3 раза для FCWS и в 1,9 раза для LDWS. Эффект достигается за счёт робастности медианы к выбросам: на кадре с ложной детекцией расчётное значение дистанции может составить 0,3 м (ошибочная большая рамка), но медиана по 5 кадрам — 3 из которых содержат корректные детекции с дистанцией 4–6 м — останется в районе 5 м, не вызывая ложного срабатывания порога 1,5 м.</w:t>
      </w:r>
    </w:p>
    <w:p>
      <w:pPr>
        <w:pStyle w:val="Heading2"/>
      </w:pPr>
      <w:r>
        <w:rPr>
          <w:rFonts w:ascii="Times New Roman" w:hAnsi="Times New Roman"/>
        </w:rPr>
        <w:t>7.5 Пороги подсистемы FCWS: дистанция столкновения</w:t>
      </w:r>
    </w:p>
    <w:p>
      <w:r>
        <w:rPr>
          <w:rFonts w:ascii="Times New Roman" w:hAnsi="Times New Roman"/>
          <w:sz w:val="24"/>
        </w:rPr>
        <w:t>Порог дистанции определяет трёхуровневую классификацию угрозы:</w:t>
      </w:r>
    </w:p>
    <w:p>
      <w:pPr>
        <w:pStyle w:val="ListBullet"/>
      </w:pPr>
      <w:r>
        <w:rPr>
          <w:rFonts w:ascii="Times New Roman" w:hAnsi="Times New Roman"/>
          <w:sz w:val="24"/>
        </w:rPr>
        <w:t>- WARNING (опасная дистанция): дистанция ≤ порога. Непосредственная угроза столкновения, требующая немедленного внимания водителя.</w:t>
      </w:r>
    </w:p>
    <w:p>
      <w:pPr>
        <w:pStyle w:val="ListBullet"/>
      </w:pPr>
      <w:r>
        <w:rPr>
          <w:rFonts w:ascii="Times New Roman" w:hAnsi="Times New Roman"/>
          <w:sz w:val="24"/>
        </w:rPr>
        <w:t>- PROMPT (повышенный риск): порог &lt; дистанция ≤ 2 × порога. Благодарственное предупреждение, информирующее о близком объекте.</w:t>
      </w:r>
    </w:p>
    <w:p>
      <w:pPr>
        <w:pStyle w:val="ListBullet"/>
      </w:pPr>
      <w:r>
        <w:rPr>
          <w:rFonts w:ascii="Times New Roman" w:hAnsi="Times New Roman"/>
          <w:sz w:val="24"/>
        </w:rPr>
        <w:t>- NORMAL (безопасно): дистанция &gt; 2 × порога.</w:t>
      </w:r>
    </w:p>
    <w:p>
      <w:r>
        <w:rPr>
          <w:rFonts w:ascii="Times New Roman" w:hAnsi="Times New Roman"/>
          <w:sz w:val="24"/>
        </w:rPr>
        <w:t>Исследованы значения порога: 1,0 м, 1,5 м (значение по умолчанию в прототипе), 2,0 м, 3,0 м.</w:t>
      </w:r>
    </w:p>
    <w:p>
      <w:pPr>
        <w:pStyle w:val="Heading3"/>
      </w:pPr>
      <w:r>
        <w:rPr>
          <w:rFonts w:ascii="Times New Roman" w:hAnsi="Times New Roman"/>
        </w:rPr>
        <w:t>Таблица 7.5. Влияние порога дистанции на FCWS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Порог,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WARNING (≤ порога)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PROMPT (порог–2×порог)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Ложных/мин*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Пропущенных/мин**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≤1,0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1,0–2,0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4,6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**1,5 (выбрано)**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**≤1,5 м**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**1,5–3,0 м**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**0,9**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≤2,0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2,0–4,0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2,3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≤3,0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3,0–6,0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4,8</w:t>
            </w:r>
          </w:p>
        </w:tc>
      </w:tr>
    </w:tbl>
    <w:p>
      <w:r>
        <w:rPr>
          <w:rFonts w:ascii="Times New Roman" w:hAnsi="Times New Roman"/>
          <w:sz w:val="24"/>
        </w:rPr>
        <w:t>*Ложные WARNING — предупреждения в ситуациях, когда реальная дистанция &gt; 4 м.*</w:t>
      </w:r>
    </w:p>
    <w:p>
      <w:r>
        <w:rPr>
          <w:rFonts w:ascii="Times New Roman" w:hAnsi="Times New Roman"/>
          <w:sz w:val="24"/>
        </w:rPr>
        <w:t>**Пропущенные — кадры, где реальная дистанция ≤ 2 м, но предупреждение не выдано.*</w:t>
      </w:r>
    </w:p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Порог 1,0 м слишком чувствителен: 4,6 ложных предупреждений в минуту (каждые 13 секунд). На скорости 40 км/ч автобус проезжает 1 метр за 0,09 секунды — водитель физиологически не способен отреагировать на предупреждение, выданное на такой дистанции.</w:t>
      </w:r>
    </w:p>
    <w:p>
      <w:r>
        <w:rPr>
          <w:rFonts w:ascii="Times New Roman" w:hAnsi="Times New Roman"/>
          <w:sz w:val="24"/>
        </w:rPr>
        <w:t>Порог 3,0 м слишком консервативен: 4,8 пропущенных предупреждений в минуту, что составляет более 20% реальных опасных ситуаций. Водитель не получает сигнал о непосредственной угрозе в каждом пятом случае.</w:t>
      </w:r>
    </w:p>
    <w:p>
      <w:r>
        <w:rPr>
          <w:rFonts w:ascii="Times New Roman" w:hAnsi="Times New Roman"/>
          <w:sz w:val="24"/>
        </w:rPr>
        <w:t>Порог 1,5 м обеспечивает оптимальный баланс. Зона PROMPT (1,5–3,0 м) соответствует времени до столкновения 0,14–0,27 секунды при скорости 40 км/ч — достаточному для восприятия визуального сигнала и начала реакции.</w:t>
      </w:r>
    </w:p>
    <w:p>
      <w:pPr>
        <w:pStyle w:val="Heading2"/>
      </w:pPr>
      <w:r>
        <w:rPr>
          <w:rFonts w:ascii="Times New Roman" w:hAnsi="Times New Roman"/>
        </w:rPr>
        <w:t>7.6 Пороги подсистемы LDWS: боковое смещение</w:t>
      </w:r>
    </w:p>
    <w:p>
      <w:r>
        <w:rPr>
          <w:rFonts w:ascii="Times New Roman" w:hAnsi="Times New Roman"/>
          <w:sz w:val="24"/>
        </w:rPr>
        <w:t>Порог смещения определяет, при каком боковом отклонении от центра полосы формируется предупреждение о сходе:</w:t>
      </w:r>
    </w:p>
    <w:p>
      <w:pPr>
        <w:pStyle w:val="ListBullet"/>
      </w:pPr>
      <w:r>
        <w:rPr>
          <w:rFonts w:ascii="Times New Roman" w:hAnsi="Times New Roman"/>
          <w:sz w:val="24"/>
        </w:rPr>
        <w:t>- |смещение| &gt; порога → LEFT (смещение влево) или RIGHT (смещение вправо);</w:t>
      </w:r>
    </w:p>
    <w:p>
      <w:pPr>
        <w:pStyle w:val="ListBullet"/>
      </w:pPr>
      <w:r>
        <w:rPr>
          <w:rFonts w:ascii="Times New Roman" w:hAnsi="Times New Roman"/>
          <w:sz w:val="24"/>
        </w:rPr>
        <w:t>- |смещение| ≤ порога → CENTER (движение по центру полосы).</w:t>
      </w:r>
    </w:p>
    <w:p>
      <w:r>
        <w:rPr>
          <w:rFonts w:ascii="Times New Roman" w:hAnsi="Times New Roman"/>
          <w:sz w:val="24"/>
        </w:rPr>
        <w:t>Исследованы значения: 0,4 м, 0,65 м (значение по умолчанию в прототипе), 0,8 м.</w:t>
      </w:r>
    </w:p>
    <w:p>
      <w:pPr>
        <w:pStyle w:val="Heading3"/>
      </w:pPr>
      <w:r>
        <w:rPr>
          <w:rFonts w:ascii="Times New Roman" w:hAnsi="Times New Roman"/>
        </w:rPr>
        <w:t>Таблица 7.6. Влияние порога смещения на LDWS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Порог,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CENTER, % кадров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LEFT/RIGHT, % кадров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Ложных/мин*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Пропущенных/мин**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**0,65 (выбрано)**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**74**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**26**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**3,7**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**1,1**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3,6</w:t>
            </w:r>
          </w:p>
        </w:tc>
      </w:tr>
    </w:tbl>
    <w:p>
      <w:r>
        <w:rPr>
          <w:rFonts w:ascii="Times New Roman" w:hAnsi="Times New Roman"/>
          <w:sz w:val="24"/>
        </w:rPr>
        <w:t>*Ложные — предупреждения при фактическом движении по центру полосы.*</w:t>
      </w:r>
    </w:p>
    <w:p>
      <w:r>
        <w:rPr>
          <w:rFonts w:ascii="Times New Roman" w:hAnsi="Times New Roman"/>
          <w:sz w:val="24"/>
        </w:rPr>
        <w:t>**Пропущенные — кадры с фактическим смещением &gt; 0,5 м без предупреждения.*</w:t>
      </w:r>
    </w:p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При ширине стандартной полосы городского движения 3,5–3,75 м и ширине городского автобуса 2,5 м допустимое смещение от геометрического центра полосы до выхода габарита автобуса за пределы полосы составляет 0,5–0,6 м (в каждую сторону).</w:t>
      </w:r>
    </w:p>
    <w:p>
      <w:r>
        <w:rPr>
          <w:rFonts w:ascii="Times New Roman" w:hAnsi="Times New Roman"/>
          <w:sz w:val="24"/>
        </w:rPr>
        <w:t>Порог 0,4 м слишком чувствителен: 6,3 ложных предупреждения в минуту, поскольку естественные колебания траектории при нормальном вождении (0,2–0,3 м) вызывают ложные срабатывания.</w:t>
      </w:r>
    </w:p>
    <w:p>
      <w:r>
        <w:rPr>
          <w:rFonts w:ascii="Times New Roman" w:hAnsi="Times New Roman"/>
          <w:sz w:val="24"/>
        </w:rPr>
        <w:t>Порог 0,65 м соответствует примерно 17% ширины полосы (3,7 м) и оставляет запас порядка 0,25 м до выхода габарита автобуса за линию разметки.</w:t>
      </w:r>
    </w:p>
    <w:p>
      <w:r>
        <w:rPr>
          <w:rFonts w:ascii="Times New Roman" w:hAnsi="Times New Roman"/>
          <w:sz w:val="24"/>
        </w:rPr>
        <w:t>Порог 0,8 м пропускает 3,6 реальных сходов с полосы в минуту — система не предупреждает о значительном смещении в 3,6 случаях из 60, что снижает практическую ценность LDWS.</w:t>
      </w:r>
    </w:p>
    <w:p>
      <w:pPr>
        <w:pStyle w:val="Heading2"/>
      </w:pPr>
      <w:r>
        <w:rPr>
          <w:rFonts w:ascii="Times New Roman" w:hAnsi="Times New Roman"/>
        </w:rPr>
        <w:t>7.7 Пороги подсистемы LKAS: кривизна дороги</w:t>
      </w:r>
    </w:p>
    <w:p>
      <w:r>
        <w:rPr>
          <w:rFonts w:ascii="Times New Roman" w:hAnsi="Times New Roman"/>
          <w:sz w:val="24"/>
        </w:rPr>
        <w:t>Порог кривизны определяет границу между «пологим» и «резким» поворотом:</w:t>
      </w:r>
    </w:p>
    <w:p>
      <w:pPr>
        <w:pStyle w:val="ListBullet"/>
      </w:pPr>
      <w:r>
        <w:rPr>
          <w:rFonts w:ascii="Times New Roman" w:hAnsi="Times New Roman"/>
          <w:sz w:val="24"/>
        </w:rPr>
        <w:t>- Кривизна ≤ порога → HARD_LEFT / HARD_RIGHT (резкий поворот);</w:t>
      </w:r>
    </w:p>
    <w:p>
      <w:pPr>
        <w:pStyle w:val="ListBullet"/>
      </w:pPr>
      <w:r>
        <w:rPr>
          <w:rFonts w:ascii="Times New Roman" w:hAnsi="Times New Roman"/>
          <w:sz w:val="24"/>
        </w:rPr>
        <w:t>- Кривизна &gt; порога → EASY_LEFT / EASY_RIGHT / STRAIGHT (пологий поворот или прямая).</w:t>
      </w:r>
    </w:p>
    <w:p>
      <w:r>
        <w:rPr>
          <w:rFonts w:ascii="Times New Roman" w:hAnsi="Times New Roman"/>
          <w:sz w:val="24"/>
        </w:rPr>
        <w:t>Исследованы значения: 300, 500 (значение по умолчанию в прототипе), 800, 1000.</w:t>
      </w:r>
    </w:p>
    <w:p>
      <w:pPr>
        <w:pStyle w:val="Heading3"/>
      </w:pPr>
      <w:r>
        <w:rPr>
          <w:rFonts w:ascii="Times New Roman" w:hAnsi="Times New Roman"/>
        </w:rPr>
        <w:t>Таблица 7.7. Влияние порога кривизны на классификацию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 кривизны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HARD, % кадров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EASY/STRAIGHT, % кадров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Некорректных классификаций/мин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6,1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**500 (выбрано)**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**28**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**72**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**2,3**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1,8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Порог 300 классифицирует почти половину кадров как «резкий поворот», что приводит к 6,1 некорректной классификации в минуту и избыточным предупреждениям на пологих участках дороги.</w:t>
      </w:r>
    </w:p>
    <w:p>
      <w:r>
        <w:rPr>
          <w:rFonts w:ascii="Times New Roman" w:hAnsi="Times New Roman"/>
          <w:sz w:val="24"/>
        </w:rPr>
        <w:t>Порог 500 даёт 28% кадров с классификацией HARD — реальные повороты радиусом менее 50 метров (типичный городской перекрёсток). При стандартной калибровке перспективного преобразования (коэффициенты метров на пиксель: по горизонтали 3,7/700, по вертикали 30/720) порог 500 соответствует радиусу кривизны порядка 40–50 метров — границе между резким городским и пологим магистральным поворотом.</w:t>
      </w:r>
    </w:p>
    <w:p>
      <w:r>
        <w:rPr>
          <w:rFonts w:ascii="Times New Roman" w:hAnsi="Times New Roman"/>
          <w:sz w:val="24"/>
        </w:rPr>
        <w:t>Пороги 800 и 1000 пропускают умеренные повороты, снижая полезность предупреждения LKAS для городских условий.</w:t>
      </w:r>
    </w:p>
    <w:p>
      <w:pPr>
        <w:pStyle w:val="Heading2"/>
      </w:pPr>
      <w:r>
        <w:rPr>
          <w:rFonts w:ascii="Times New Roman" w:hAnsi="Times New Roman"/>
        </w:rPr>
        <w:t>7.8 Адаптивные пороги по скорости транспортного средства</w:t>
      </w:r>
    </w:p>
    <w:p>
      <w:r>
        <w:rPr>
          <w:rFonts w:ascii="Times New Roman" w:hAnsi="Times New Roman"/>
          <w:sz w:val="24"/>
        </w:rPr>
        <w:t>Фиксированный порог дистанции FCWS, равный 1,5 метра, является компромиссным значением, выбранным для городского режима движения на скорости до 40 км/ч. Однако на скоростных участках (магистрали, объездные дороги) автобус может двигаться со скоростью 60 км/ч и выше, что требует расширения зоны предупреждения для обеспечения достаточного времени реакции водителя.</w:t>
      </w:r>
    </w:p>
    <w:p>
      <w:pPr>
        <w:pStyle w:val="Heading3"/>
      </w:pPr>
      <w:r>
        <w:rPr>
          <w:rFonts w:ascii="Times New Roman" w:hAnsi="Times New Roman"/>
        </w:rPr>
        <w:t>Методика</w:t>
      </w:r>
    </w:p>
    <w:p>
      <w:r>
        <w:rPr>
          <w:rFonts w:ascii="Times New Roman" w:hAnsi="Times New Roman"/>
          <w:sz w:val="24"/>
        </w:rPr>
        <w:t>Предложена кусочно-линейная функция порога от скорости: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Диапазон скоростей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 distance_thres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 &lt; 20 км/ч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0,8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Маневрирование на остановках, малая скорость — риск столкновения низкий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20 ≤ v &lt; 40 км/ч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Городской режим, базовое 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40 ≤ v &lt; 60 км/ч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2,5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Магистральный режим, увеличенное тормозное расстояние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v ≥ 60 км/ч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4,0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Скоростная магистраль, время реакции ~0,24 с при тормозном пути ~20 м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Результаты моделирования</w:t>
      </w:r>
    </w:p>
    <w:p>
      <w:pPr>
        <w:pStyle w:val="Heading4"/>
      </w:pPr>
      <w:r>
        <w:rPr>
          <w:rFonts w:ascii="Times New Roman" w:hAnsi="Times New Roman"/>
        </w:rPr>
        <w:t>Таблица 7.8. Сравнение фиксированного и адаптивного порогов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WARNING/мин (город)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Ложных WARNING/мин (трасса)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Пропущенных/мин (трасса)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Средняя задержка, 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Фиксированный (1,5 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3,2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**Адаптивный (v-зависимый)**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**1,1**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**1,3**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**0,22**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На городских скоростях (&lt;40 км/ч) адаптивный порог эквивалентен фиксированному — характеристики не ухудшаются. На скоростной трассе (≥60 км/ч) адаптивный порог 4,0 м снижает количество пропущенных предупреждений на 59% (с 3,2 до 1,3 в минуту) ценой умеренного роста ложных срабатываний (с 0,4 до 1,1 в минуту). Данный компромисс обоснован: на высокой скорости пропуск предупреждения значительно опаснее ложного, так как время на реакцию минимально.</w:t>
      </w:r>
    </w:p>
    <w:p>
      <w:r>
        <w:rPr>
          <w:rFonts w:ascii="Times New Roman" w:hAnsi="Times New Roman"/>
          <w:sz w:val="24"/>
        </w:rPr>
        <w:t>Для реализации адаптивного порога необходима оценка собственной скорости транспортного средства. В текущем прототипе скорость не измеряется, однако в целевой конфигурации предполагается получение данных от CAN-шины автобуса. Адаптивный порог рекомендован к внедрению в следующей версии системы.</w:t>
      </w:r>
    </w:p>
    <w:p>
      <w:pPr>
        <w:pStyle w:val="Heading2"/>
      </w:pPr>
      <w:r>
        <w:rPr>
          <w:rFonts w:ascii="Times New Roman" w:hAnsi="Times New Roman"/>
        </w:rPr>
        <w:t>7.9 Сравнение с требованиями Euro NCAP</w:t>
      </w:r>
    </w:p>
    <w:p>
      <w:r>
        <w:rPr>
          <w:rFonts w:ascii="Times New Roman" w:hAnsi="Times New Roman"/>
          <w:sz w:val="24"/>
        </w:rPr>
        <w:t>Протоколы испытаний Европейской программы оценки новых автомобилей (Euro NCAP) устанавливают формальные требования к системам активной безопасности, включая FCWS и LDWS. Проведено сопоставление характеристик прототипа с актуальными протоколами.</w:t>
      </w:r>
    </w:p>
    <w:p>
      <w:pPr>
        <w:pStyle w:val="Heading3"/>
      </w:pPr>
      <w:r>
        <w:rPr>
          <w:rFonts w:ascii="Times New Roman" w:hAnsi="Times New Roman"/>
        </w:rPr>
        <w:t>Протокол AEB Car-to-Car (City)</w:t>
      </w:r>
    </w:p>
    <w:p>
      <w:r>
        <w:rPr>
          <w:rFonts w:ascii="Times New Roman" w:hAnsi="Times New Roman"/>
          <w:sz w:val="24"/>
        </w:rPr>
        <w:t>Протокол AEB C2C City (Euro NCAP 2023) предъявляет следующие требования к системе автоматического экстренного торможения в городских условиях:</w:t>
      </w:r>
    </w:p>
    <w:p>
      <w:pPr>
        <w:pStyle w:val="ListBullet"/>
      </w:pPr>
      <w:r>
        <w:rPr>
          <w:rFonts w:ascii="Times New Roman" w:hAnsi="Times New Roman"/>
          <w:sz w:val="24"/>
        </w:rPr>
        <w:t>- Скорость движения: 10–50 км/ч;</w:t>
      </w:r>
    </w:p>
    <w:p>
      <w:pPr>
        <w:pStyle w:val="ListBullet"/>
      </w:pPr>
      <w:r>
        <w:rPr>
          <w:rFonts w:ascii="Times New Roman" w:hAnsi="Times New Roman"/>
          <w:sz w:val="24"/>
        </w:rPr>
        <w:t>- Тип цели: неподвижный и движущийся автомобиль;</w:t>
      </w:r>
    </w:p>
    <w:p>
      <w:pPr>
        <w:pStyle w:val="ListBullet"/>
      </w:pPr>
      <w:r>
        <w:rPr>
          <w:rFonts w:ascii="Times New Roman" w:hAnsi="Times New Roman"/>
          <w:sz w:val="24"/>
        </w:rPr>
        <w:t>- Требование: предотвращение столкновения или снижение скорости не менее чем на 20 км/ч до момента столкновения.</w:t>
      </w:r>
    </w:p>
    <w:p>
      <w:r>
        <w:rPr>
          <w:rFonts w:ascii="Times New Roman" w:hAnsi="Times New Roman"/>
          <w:sz w:val="24"/>
        </w:rPr>
        <w:t>Прототип не реализует автоматическое торможение — только предупреждение водителя. Однако корректность предупреждения может быть оценена через соответствие порогов FCWS динамике испытаний Euro NCAP.</w:t>
      </w:r>
    </w:p>
    <w:p>
      <w:pPr>
        <w:pStyle w:val="Heading4"/>
      </w:pPr>
      <w:r>
        <w:rPr>
          <w:rFonts w:ascii="Times New Roman" w:hAnsi="Times New Roman"/>
        </w:rPr>
        <w:t>Таблица 7.9. Соответствие порогов прототипа сценариям Euro NCAP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Сценарий Euro NCAP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Скорость цели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Требуемая дистанция срабатывания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Порог прототипа (1,5 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Соответствие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CCRs (неподвижная цель)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 км/ч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TTC ≤ 2,5 с (≈ 14 м при 20 км/ч)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 м (TTC ≈ 0,27 с)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**Не соответствует**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CCRm (движущаяся цель)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20 км/ч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TTC ≤ 3,0 с (≈ 8 м при 10 км/ч разницы)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 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**Не соответствует**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Городской (v ≤ 30 км/ч)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TTC ≤ 1,5 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 м (TTC ≈ 0,18 с при 30 км/ч)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**Частично**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Прототип с фиксированным порогом 1,5 м не соответствует требованиям Euro NCAP: предупреждение выдаётся слишком поздно — время до столкновения (TTC) составляет 0,18–0,27 секунды вместо требуемых 1,5–2,5 секунды. Основная причина: порог выбран из соображений минимизации ложных срабатываний, а не из требований к времени реакции водителя.</w:t>
      </w:r>
    </w:p>
    <w:p>
      <w:r>
        <w:rPr>
          <w:rFonts w:ascii="Times New Roman" w:hAnsi="Times New Roman"/>
          <w:sz w:val="24"/>
        </w:rPr>
        <w:t>Для соответствия протоколу необходимо увеличение порога FCWS до значений 3–4 метров на городских скоростях, что неизбежно приведёт к росту ложных предупреждений. Снижение ложно-положительных срабатываний при повышенном пороге требует повышения точности оценки дистанции (калибровка фокусного расстояния) и применения адаптивных порогов по скорости.</w:t>
      </w:r>
    </w:p>
    <w:p>
      <w:r>
        <w:rPr>
          <w:rFonts w:ascii="Times New Roman" w:hAnsi="Times New Roman"/>
          <w:sz w:val="24"/>
        </w:rPr>
        <w:t>Текущий прототип соответствует уровню «частичное соответствие» только в сценариях с низкой скоростью движения (до 30 км/ч). Для сертификации по Euro NCAP требуется существенная доработка.</w:t>
      </w:r>
    </w:p>
    <w:p>
      <w:pPr>
        <w:pStyle w:val="Heading2"/>
      </w:pPr>
      <w:r>
        <w:rPr>
          <w:rFonts w:ascii="Times New Roman" w:hAnsi="Times New Roman"/>
        </w:rPr>
        <w:t>7.10 Итоговая конфигурация параметров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Буфер FCWS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 значений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Баланс ложных/пропущенных (2,1/0,9) при задержке 0,25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Буфер LDWS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 значений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Баланс ложных/пропущенных (3,7/1,2) при задержке 0,25 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Буфер LKAS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10 значений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Устойчивая классификация поворотов (2,3 некорректных/мин)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Метод агрегации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Медиана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Снижение ложных в 2,3 раза vs среднее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Порог дистанции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1,5 м (фикс.) → адаптивный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Текущий фикс. 1,5 м; рекомендован переход к v-зависимому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Порог смещения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0,65 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Соответствует 17% ширины полосы, запас 0,25 м до выхода из полосы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Порог кривизны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Разделение резких (R &lt; 50 м) и пологих поворотов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