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8. Калибровка BEV-преобразования и перспективы развёртывания на встраиваемой платформе</w:t>
      </w:r>
    </w:p>
    <w:p>
      <w:pPr>
        <w:pStyle w:val="Heading2"/>
      </w:pPr>
      <w:r>
        <w:rPr>
          <w:rFonts w:ascii="Times New Roman" w:hAnsi="Times New Roman"/>
        </w:rPr>
        <w:t>8.1 Постановка задачи</w:t>
      </w:r>
    </w:p>
    <w:p>
      <w:r>
        <w:rPr>
          <w:rFonts w:ascii="Times New Roman" w:hAnsi="Times New Roman"/>
          <w:sz w:val="24"/>
        </w:rPr>
        <w:t>Точность оценки бокового смещения автобуса от центра полосы и радиуса кривизны дороги непосредственно зависит от качества обратного перспективного преобразования (Bird's Eye View, BEV). Данное преобразование переводит координаты полос из перспективной проекции камеры в вид «с высоты птичьего полёта» (план дороги), где метрики смещения и кривизны вычисляются в реальных физических единицах.</w:t>
      </w:r>
    </w:p>
    <w:p>
      <w:r>
        <w:rPr>
          <w:rFonts w:ascii="Times New Roman" w:hAnsi="Times New Roman"/>
          <w:sz w:val="24"/>
        </w:rPr>
        <w:t>Исследуются два направления:</w:t>
      </w:r>
    </w:p>
    <w:p>
      <w:pPr>
        <w:pStyle w:val="ListNumber"/>
      </w:pPr>
      <w:r>
        <w:rPr>
          <w:rFonts w:ascii="Times New Roman" w:hAnsi="Times New Roman"/>
          <w:sz w:val="24"/>
        </w:rPr>
        <w:t>Сравнение статической и динамической конфигурации исходных точек BEV-преобразования и их влияние на точность подсистем LDWS и LKAS;</w:t>
      </w:r>
    </w:p>
    <w:p>
      <w:pPr>
        <w:pStyle w:val="ListNumber"/>
      </w:pPr>
      <w:r>
        <w:rPr>
          <w:rFonts w:ascii="Times New Roman" w:hAnsi="Times New Roman"/>
          <w:sz w:val="24"/>
        </w:rPr>
        <w:t>Теоретическая оценка производительности системы при развёртывании на встраиваемой платформе Rockchip RK3588 со специализированным нейросетевым ускорителем (NPU).</w:t>
      </w:r>
    </w:p>
    <w:p>
      <w:pPr>
        <w:pStyle w:val="Heading2"/>
      </w:pPr>
      <w:r>
        <w:rPr>
          <w:rFonts w:ascii="Times New Roman" w:hAnsi="Times New Roman"/>
        </w:rPr>
        <w:t>8.2 Часть 1: Калибровка BEV-преобразования</w:t>
      </w:r>
    </w:p>
    <w:p>
      <w:pPr>
        <w:pStyle w:val="Heading3"/>
      </w:pPr>
      <w:r>
        <w:rPr>
          <w:rFonts w:ascii="Times New Roman" w:hAnsi="Times New Roman"/>
        </w:rPr>
        <w:t>8.2.1 Описание метода</w:t>
      </w:r>
    </w:p>
    <w:p>
      <w:r>
        <w:rPr>
          <w:rFonts w:ascii="Times New Roman" w:hAnsi="Times New Roman"/>
          <w:sz w:val="24"/>
        </w:rPr>
        <w:t>Математически BEV-преобразование представляет собой гомографию — проективное преобразование плоскости дороги в плоскость изображения, задаваемое четырьмя парами соответствующих точек (исходные точки на изображении и их прообразы на плоскости дороги). Матрица гомографии размером 3×3 вычисляется методом наименьших квадратов из четырёх точечных соответствий.</w:t>
      </w:r>
    </w:p>
    <w:p>
      <w:r>
        <w:rPr>
          <w:rFonts w:ascii="Times New Roman" w:hAnsi="Times New Roman"/>
          <w:sz w:val="24"/>
        </w:rPr>
        <w:t>Исходные точки на изображении образуют трапецеидальную область, охватывающую видимую часть дороги. В прототипе они задаются в относительных координатах (долях от ширины и высоты кадра):</w:t>
      </w:r>
    </w:p>
    <w:p>
      <w:pPr>
        <w:pStyle w:val="ListBullet"/>
      </w:pPr>
      <w:r>
        <w:rPr>
          <w:rFonts w:ascii="Times New Roman" w:hAnsi="Times New Roman"/>
          <w:sz w:val="24"/>
        </w:rPr>
        <w:t>- верхняя левая: (0,30 ширины, 0,70 высоты) — левый верхний угол зоны интереса;</w:t>
      </w:r>
    </w:p>
    <w:p>
      <w:pPr>
        <w:pStyle w:val="ListBullet"/>
      </w:pPr>
      <w:r>
        <w:rPr>
          <w:rFonts w:ascii="Times New Roman" w:hAnsi="Times New Roman"/>
          <w:sz w:val="24"/>
        </w:rPr>
        <w:t>- нижняя левая: (0,20 ширины, 1,00 высоты) — левый нижний угол;</w:t>
      </w:r>
    </w:p>
    <w:p>
      <w:pPr>
        <w:pStyle w:val="ListBullet"/>
      </w:pPr>
      <w:r>
        <w:rPr>
          <w:rFonts w:ascii="Times New Roman" w:hAnsi="Times New Roman"/>
          <w:sz w:val="24"/>
        </w:rPr>
        <w:t>- нижняя правая: (0,95 ширины, 1,00 высоты) — правый нижний угол;</w:t>
      </w:r>
    </w:p>
    <w:p>
      <w:pPr>
        <w:pStyle w:val="ListBullet"/>
      </w:pPr>
      <w:r>
        <w:rPr>
          <w:rFonts w:ascii="Times New Roman" w:hAnsi="Times New Roman"/>
          <w:sz w:val="24"/>
        </w:rPr>
        <w:t>- верхняя правая: (0,80 ширины, 0,70 высоты) — правый верхний угол.</w:t>
      </w:r>
    </w:p>
    <w:p>
      <w:r>
        <w:rPr>
          <w:rFonts w:ascii="Times New Roman" w:hAnsi="Times New Roman"/>
          <w:sz w:val="24"/>
        </w:rPr>
        <w:t>Исследованы три режима обновления исходных точек:</w:t>
      </w:r>
    </w:p>
    <w:p>
      <w:r>
        <w:rPr>
          <w:rFonts w:ascii="Times New Roman" w:hAnsi="Times New Roman"/>
          <w:sz w:val="24"/>
        </w:rPr>
        <w:t>**Режим 1: Статический (Bottom).** Исходные точки фиксируются при инициализации и не изменяются на протяжении всей поездки. Трапецеидальная зона охватывает нижнюю часть кадра — область, где перспективные искажения дороги минимальны.</w:t>
      </w:r>
    </w:p>
    <w:p>
      <w:r>
        <w:rPr>
          <w:rFonts w:ascii="Times New Roman" w:hAnsi="Times New Roman"/>
          <w:sz w:val="24"/>
        </w:rPr>
        <w:t>**Режим 2: Динамический.** Исходные точки обновляются в зависимости от текущего состояния дороги. Реализованы три подрежима, между которыми происходит переключение на основе анализа геометрии полос:</w:t>
      </w:r>
    </w:p>
    <w:p>
      <w:pPr>
        <w:pStyle w:val="ListBullet"/>
      </w:pPr>
      <w:r>
        <w:rPr>
          <w:rFonts w:ascii="Times New Roman" w:hAnsi="Times New Roman"/>
          <w:sz w:val="24"/>
        </w:rPr>
        <w:t>- *Bottom* (сужение зоны снизу) — активируется при движении в повороте с малым боковым смещением. Сужает зону интереса, фокусируясь на ближнем участке дороги, где детекция полос наиболее надёжна.</w:t>
      </w:r>
    </w:p>
    <w:p>
      <w:pPr>
        <w:pStyle w:val="ListBullet"/>
      </w:pPr>
      <w:r>
        <w:rPr>
          <w:rFonts w:ascii="Times New Roman" w:hAnsi="Times New Roman"/>
          <w:sz w:val="24"/>
        </w:rPr>
        <w:t>- *Top* (расширение зоны сверху) — активируется при осцилляции бокового смещения, характерной для смены полосы. Расширяет зону интереса вверх, захватывая более дальний участок для раннего детектирования пересечения разметки.</w:t>
      </w:r>
    </w:p>
    <w:p>
      <w:pPr>
        <w:pStyle w:val="ListBullet"/>
      </w:pPr>
      <w:r>
        <w:rPr>
          <w:rFonts w:ascii="Times New Roman" w:hAnsi="Times New Roman"/>
          <w:sz w:val="24"/>
        </w:rPr>
        <w:t>- *Default* (стандартная зона) — активируется при движении по прямой дороге (кривизна ≥ 15000 условных единиц) на протяжении трёх и более кадров. Возвращает зону интереса к стандартным параметрам, оптимальным для прямых участков.</w:t>
      </w:r>
    </w:p>
    <w:p>
      <w:r>
        <w:rPr>
          <w:rFonts w:ascii="Times New Roman" w:hAnsi="Times New Roman"/>
          <w:sz w:val="24"/>
        </w:rPr>
        <w:t>**Режим 3: Статический (Default).** Исходные точки фиксированы в положении, соответствующем подрежиму Default динамической конфигурации — расширенная зона, оптимизированная для прямых участков дороги.</w:t>
      </w:r>
    </w:p>
    <w:p>
      <w:pPr>
        <w:pStyle w:val="Heading3"/>
      </w:pPr>
      <w:r>
        <w:rPr>
          <w:rFonts w:ascii="Times New Roman" w:hAnsi="Times New Roman"/>
        </w:rPr>
        <w:t>8.2.2 Методика эксперимента</w:t>
      </w:r>
    </w:p>
    <w:p>
      <w:r>
        <w:rPr>
          <w:rFonts w:ascii="Times New Roman" w:hAnsi="Times New Roman"/>
          <w:sz w:val="24"/>
        </w:rPr>
        <w:t>Для каждого режима BEV измерены:</w:t>
      </w:r>
    </w:p>
    <w:p>
      <w:pPr>
        <w:pStyle w:val="ListBullet"/>
      </w:pPr>
      <w:r>
        <w:rPr>
          <w:rFonts w:ascii="Times New Roman" w:hAnsi="Times New Roman"/>
          <w:sz w:val="24"/>
        </w:rPr>
        <w:t>- Средняя абсолютная ошибка (MAE) оценки бокового смещения автобуса от центра полосы, в метрах;</w:t>
      </w:r>
    </w:p>
    <w:p>
      <w:pPr>
        <w:pStyle w:val="ListBullet"/>
      </w:pPr>
      <w:r>
        <w:rPr>
          <w:rFonts w:ascii="Times New Roman" w:hAnsi="Times New Roman"/>
          <w:sz w:val="24"/>
        </w:rPr>
        <w:t>- Средняя абсолютная ошибка радиуса кривизны, в процентах от эталонного значения;</w:t>
      </w:r>
    </w:p>
    <w:p>
      <w:pPr>
        <w:pStyle w:val="ListBullet"/>
      </w:pPr>
      <w:r>
        <w:rPr>
          <w:rFonts w:ascii="Times New Roman" w:hAnsi="Times New Roman"/>
          <w:sz w:val="24"/>
        </w:rPr>
        <w:t>- Количество ложных предупреждений подсистем LDWS и LKAS в минуту.</w:t>
      </w:r>
    </w:p>
    <w:p>
      <w:r>
        <w:rPr>
          <w:rFonts w:ascii="Times New Roman" w:hAnsi="Times New Roman"/>
          <w:sz w:val="24"/>
        </w:rPr>
        <w:t>Оценка проводилась на 300 кадрах с ручной разметкой, содержащих известные параметры положения полос и бокового смещения. Использовалась конфигурация: оптимизированный конвейер (параллельный инференс, масштабирование 0,75, пропуск одного кадра разметки), частота кадров ~19,4 FPS.</w:t>
      </w:r>
    </w:p>
    <w:p>
      <w:pPr>
        <w:pStyle w:val="Heading3"/>
      </w:pPr>
      <w:r>
        <w:rPr>
          <w:rFonts w:ascii="Times New Roman" w:hAnsi="Times New Roman"/>
        </w:rPr>
        <w:t>8.2.3 Результаты</w:t>
      </w:r>
    </w:p>
    <w:p>
      <w:pPr>
        <w:pStyle w:val="Heading4"/>
      </w:pPr>
      <w:r>
        <w:rPr>
          <w:rFonts w:ascii="Times New Roman" w:hAnsi="Times New Roman"/>
        </w:rPr>
        <w:t>Таблица 8.1. Сравнение режимов BEV-преобразования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Режим BEV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MAE смещения, 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MAE кривизны, 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LDWS/мин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LKAS/мин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Статический (Bottom)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12,4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5,1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3,8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**Динамический**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**0,18**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**8,2**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**3,7**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**2,3**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**19,2**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Статический (Default)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9,5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2,9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19,4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8.2.4 Анализ</w:t>
      </w:r>
    </w:p>
    <w:p>
      <w:r>
        <w:rPr>
          <w:rFonts w:ascii="Times New Roman" w:hAnsi="Times New Roman"/>
          <w:sz w:val="24"/>
        </w:rPr>
        <w:t>Динамическая коррекция BEV обеспечивает: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средней абсолютной ошибки оценки смещения на 44% (с 0,32 до 0,18 м) относительно статического режима Bottom;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ошибки кривизны на 34% (с 12,4% до 8,2%);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ложных предупреждений LDWS на 27% (с 5,1 до 3,7 в минуту);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ложных предупреждений LKAS на 39% (с 3,8 до 2,3 в минуту).</w:t>
      </w:r>
    </w:p>
    <w:p>
      <w:r>
        <w:rPr>
          <w:rFonts w:ascii="Times New Roman" w:hAnsi="Times New Roman"/>
          <w:sz w:val="24"/>
        </w:rPr>
        <w:t>Влияние динамической коррекции на частоту кадров минимально (снижение с 19,4 до 19,2 FPS, или ~1%). Это объясняется тем, что пересчёт матрицы гомографии (операция вычислительной сложности O(1) с решением системы линейных уравнений 8×8) выполняется только при смене режима BEV, что происходит 1–3 раза за типичную поездку.</w:t>
      </w:r>
    </w:p>
    <w:p>
      <w:r>
        <w:rPr>
          <w:rFonts w:ascii="Times New Roman" w:hAnsi="Times New Roman"/>
          <w:sz w:val="24"/>
        </w:rPr>
        <w:t>Логика переключения режимов реализована в модуле анализа дорожной ситуации на основе трёх критериев:</w:t>
      </w:r>
    </w:p>
    <w:p>
      <w:pPr>
        <w:pStyle w:val="ListBullet"/>
      </w:pPr>
      <w:r>
        <w:rPr>
          <w:rFonts w:ascii="Times New Roman" w:hAnsi="Times New Roman"/>
          <w:sz w:val="24"/>
        </w:rPr>
        <w:t>- При кривизне дороги ≥ 15000 условных единиц на протяжении трёх кадров — дорога считается прямой, активируется Default;</w:t>
      </w:r>
    </w:p>
    <w:p>
      <w:pPr>
        <w:pStyle w:val="ListBullet"/>
      </w:pPr>
      <w:r>
        <w:rPr>
          <w:rFonts w:ascii="Times New Roman" w:hAnsi="Times New Roman"/>
          <w:sz w:val="24"/>
        </w:rPr>
        <w:t>- При осцилляции бокового смещения (все значения в буфере либо &gt; 0,2 м, либо &lt; -0,2 м) — детектируется манёвр смены полосы, активируется Top;</w:t>
      </w:r>
    </w:p>
    <w:p>
      <w:pPr>
        <w:pStyle w:val="ListBullet"/>
      </w:pPr>
      <w:r>
        <w:rPr>
          <w:rFonts w:ascii="Times New Roman" w:hAnsi="Times New Roman"/>
          <w:sz w:val="24"/>
        </w:rPr>
        <w:t>- Во всех остальных случаях (поворот + умеренное смещение) — активируется Bottom.</w:t>
      </w:r>
    </w:p>
    <w:p>
      <w:pPr>
        <w:pStyle w:val="Heading2"/>
      </w:pPr>
      <w:r>
        <w:rPr>
          <w:rFonts w:ascii="Times New Roman" w:hAnsi="Times New Roman"/>
        </w:rPr>
        <w:t>8.3 Сравнение методов перспективного преобразования: гомография vs IPM</w:t>
      </w:r>
    </w:p>
    <w:p>
      <w:r>
        <w:rPr>
          <w:rFonts w:ascii="Times New Roman" w:hAnsi="Times New Roman"/>
          <w:sz w:val="24"/>
        </w:rPr>
        <w:t>Классическая гомография, используемая в прототипе, опирается на предположение о плоской модели дороги и не учитывает угол наклона камеры относительно горизонта (pitch) и угол крена (roll) транспортного средства. Альтернативный подход — метод обратного перспективного отображения (Inverse Perspective Mapping, IPM) — явно учитывает углы установки камеры и высоту её расположения над плоскостью дороги.</w:t>
      </w:r>
    </w:p>
    <w:p>
      <w:pPr>
        <w:pStyle w:val="Heading3"/>
      </w:pPr>
      <w:r>
        <w:rPr>
          <w:rFonts w:ascii="Times New Roman" w:hAnsi="Times New Roman"/>
        </w:rPr>
        <w:t>Принцип IPM</w:t>
      </w:r>
    </w:p>
    <w:p>
      <w:r>
        <w:rPr>
          <w:rFonts w:ascii="Times New Roman" w:hAnsi="Times New Roman"/>
          <w:sz w:val="24"/>
        </w:rPr>
        <w:t>IPM-преобразование использует известные внутренние (матрица камеры K) и внешние (матрица поворота R и вектор трансляции T) параметры камеры для проецирования точек изображения на плоскость дороги. В отличие от четырёхточечной гомографии, которая определяет соответствие эмпирически, IPM выводит его из физической модели наблюдения:</w:t>
      </w:r>
    </w:p>
    <w:p>
      <w:r>
        <w:rPr>
          <w:rFonts w:ascii="Times New Roman" w:hAnsi="Times New Roman"/>
          <w:sz w:val="24"/>
        </w:rPr>
        <w:t>$$ \begin{bmatrix} u \\ v \\ 1 \end{bmatrix} \sim K \cdot [R \mid T] \cdot \begin{bmatrix} X \\ Y \\ 0 \\ 1 \end{bmatrix} $$</w:t>
      </w:r>
    </w:p>
    <w:p>
      <w:r>
        <w:rPr>
          <w:rFonts w:ascii="Times New Roman" w:hAnsi="Times New Roman"/>
          <w:sz w:val="24"/>
        </w:rPr>
        <w:t>где $(u, v)$ — координаты точки на изображении, $(X, Y, 0)$ — координаты точки на плоскости дороги (Z = 0 по определению), K — матрица внутренних параметров камеры (3×3), [R|T] — матрица внешних параметров (3×4).</w:t>
      </w:r>
    </w:p>
    <w:p>
      <w:pPr>
        <w:pStyle w:val="Heading3"/>
      </w:pPr>
      <w:r>
        <w:rPr>
          <w:rFonts w:ascii="Times New Roman" w:hAnsi="Times New Roman"/>
        </w:rPr>
        <w:t>Сравнительный анализ</w:t>
      </w:r>
    </w:p>
    <w:p>
      <w:pPr>
        <w:pStyle w:val="Heading4"/>
      </w:pPr>
      <w:r>
        <w:rPr>
          <w:rFonts w:ascii="Times New Roman" w:hAnsi="Times New Roman"/>
        </w:rPr>
        <w:t>Таблица 8.2. Гомография vs IPM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Гомография (4 точки)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IPM (полная калибровка)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Точность MAE смещения (оценка)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0,18 м (динамическая)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0,12–0,15 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Устойчивость к наклону камеры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Низкая (не моделирует)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Высокая (явно параметризован)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Устойчивость к крену ТС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Средняя (требует оценки roll)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Требования к калибровке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 точечных соответствия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Шахматная доска + измерение высоты и углов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Сложность реализации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O(1) — решение СЛУ 8×8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O(1) — матричное умножение 3×4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Частота пересчёта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При смене режима (1–3/поездка)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При изменении pitch/roll (каждый кадр при наличии IMU)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Влияние на FPS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&lt;1% (матричное умножение &lt;0,1 мс)</w:t>
            </w:r>
          </w:p>
        </w:tc>
      </w:tr>
    </w:tbl>
    <w:p>
      <w:r>
        <w:rPr>
          <w:rFonts w:ascii="Times New Roman" w:hAnsi="Times New Roman"/>
          <w:sz w:val="24"/>
        </w:rPr>
        <w:t>IPM обеспечивает теоретически более высокую точность, особенно на участках с выраженным продольным уклоном дороги (подъёмы, спуски), где плоскость дороги отклоняется от предположения гомографии. Дополнительно IPM позволяет компенсировать крен автобуса на поворотах, если доступны данные инерциального измерительного модуля (IMU).</w:t>
      </w:r>
    </w:p>
    <w:p>
      <w:r>
        <w:rPr>
          <w:rFonts w:ascii="Times New Roman" w:hAnsi="Times New Roman"/>
          <w:sz w:val="24"/>
        </w:rPr>
        <w:t>Однако IPM требует знания матрицы внутренних параметров камеры (фокусное расстояние в пикселях, координаты оптического центра) и её положения относительно плоскости дороги (высота, углы тангажа и крена). Калибровка этих параметров представляет собой отдельную процедуру, требующую специального стенда (калибровочная шахматная доска) и измерения геометрических параметров установки камеры.</w:t>
      </w:r>
    </w:p>
    <w:p>
      <w:r>
        <w:rPr>
          <w:rFonts w:ascii="Times New Roman" w:hAnsi="Times New Roman"/>
          <w:sz w:val="24"/>
        </w:rPr>
        <w:t>Для прототипа, ориентированного на демонстрацию концепции, четырёхточечная гомография с динамической коррекцией является достаточной. Переход на IPM рекомендован для серийной версии системы при условии выполнения полной калибровки сенсорной подсистемы.</w:t>
      </w:r>
    </w:p>
    <w:p>
      <w:pPr>
        <w:pStyle w:val="Heading2"/>
      </w:pPr>
      <w:r>
        <w:rPr>
          <w:rFonts w:ascii="Times New Roman" w:hAnsi="Times New Roman"/>
        </w:rPr>
        <w:t>8.4 Часть 2: Планируемый эксперимент на платформе RK3588 NPU</w:t>
      </w:r>
    </w:p>
    <w:p>
      <w:pPr>
        <w:pStyle w:val="Heading3"/>
      </w:pPr>
      <w:r>
        <w:rPr>
          <w:rFonts w:ascii="Times New Roman" w:hAnsi="Times New Roman"/>
        </w:rPr>
        <w:t>8.4.1 Мотивация</w:t>
      </w:r>
    </w:p>
    <w:p>
      <w:r>
        <w:rPr>
          <w:rFonts w:ascii="Times New Roman" w:hAnsi="Times New Roman"/>
          <w:sz w:val="24"/>
        </w:rPr>
        <w:t>Целевая встраиваемая платформа концептуального проекта — одноплатный компьютер Rockchip RK3588, оснащённый специализированным нейросетевым ускорителем (NPU) производительностью 6 триллионов операций в секунду (TOPS) в формате INT8. Текущая реализация прототипа использует среду ONNX Runtime на центральном процессоре (x86-64), что не позволяет задействовать NPU и ограничивает частоту кадров значением порядка 19,4 FPS в оптимизированной конфигурации.</w:t>
      </w:r>
    </w:p>
    <w:p>
      <w:r>
        <w:rPr>
          <w:rFonts w:ascii="Times New Roman" w:hAnsi="Times New Roman"/>
          <w:sz w:val="24"/>
        </w:rPr>
        <w:t>Конвертация моделей из формата ONNX в специализированный формат RKNN и выполнение инференса на NPU потенциально обеспечивает значительный прирост производительности, позволяющий либо повысить частоту кадров, либо вернуться к полному разрешению без масштабирования, восстановив исходную точность детекции.</w:t>
      </w:r>
    </w:p>
    <w:p>
      <w:pPr>
        <w:pStyle w:val="Heading3"/>
      </w:pPr>
      <w:r>
        <w:rPr>
          <w:rFonts w:ascii="Times New Roman" w:hAnsi="Times New Roman"/>
        </w:rPr>
        <w:t>8.4.2 Характеристики платформы RK3588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Центральный процессор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4× Cortex-A76 (2,4 ГГц) + 4× Cortex-A55 (1,8 ГГц)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Графический процессор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Mali-G610 MP4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Нейросетевой ускоритель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6 TOPS (INT8), 3 вычислительных ядра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4–16 ГБ LPDDR4/LPDDR5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Интерфейсы ввода-вывода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HDMI 2.1, MIPI-CSI (камера), MIPI-DSI (дисплей), PCIe, USB 3.0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Тепловыделение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8–15 Вт</w:t>
            </w:r>
          </w:p>
        </w:tc>
      </w:tr>
    </w:tbl>
    <w:p>
      <w:r>
        <w:rPr>
          <w:rFonts w:ascii="Times New Roman" w:hAnsi="Times New Roman"/>
          <w:sz w:val="24"/>
        </w:rPr>
        <w:t>NPU RK3588 состоит из трёх независимых вычислительных ядер, способных параллельно выполнять инференс различных моделей, что естественным образом поддерживает двухпоточную архитектуру конвейера прототипа.</w:t>
      </w:r>
    </w:p>
    <w:p>
      <w:pPr>
        <w:pStyle w:val="Heading3"/>
      </w:pPr>
      <w:r>
        <w:rPr>
          <w:rFonts w:ascii="Times New Roman" w:hAnsi="Times New Roman"/>
        </w:rPr>
        <w:t>8.4.3 Процесс конвертации ONNX → RKNN</w:t>
      </w:r>
    </w:p>
    <w:p>
      <w:r>
        <w:rPr>
          <w:rFonts w:ascii="Times New Roman" w:hAnsi="Times New Roman"/>
          <w:sz w:val="24"/>
        </w:rPr>
        <w:t>Конвертация модели из формата ONNX в формат RKNN включает следующие этапы:</w:t>
      </w:r>
    </w:p>
    <w:p>
      <w:pPr>
        <w:pStyle w:val="ListNumber"/>
      </w:pPr>
      <w:r>
        <w:rPr>
          <w:rFonts w:ascii="Times New Roman" w:hAnsi="Times New Roman"/>
          <w:sz w:val="24"/>
        </w:rPr>
        <w:t>Загрузка модели ONNX в инструментарий RKNN Toolkit 2 и конфигурирование параметров: средние значения и стандартные отклонения для нормализации входного изображения, целевая платформа (rk3588).</w:t>
      </w:r>
    </w:p>
    <w:p>
      <w:pPr>
        <w:pStyle w:val="ListNumber"/>
      </w:pPr>
      <w:r>
        <w:rPr>
          <w:rFonts w:ascii="Times New Roman" w:hAnsi="Times New Roman"/>
          <w:sz w:val="24"/>
        </w:rPr>
        <w:t>Квантование INT8 с использованием калибровочного набора из 50–200 изображений, репрезентативных для целевого домена. На этом этапе веса и активации модели преобразуются из FP32 в INT8 с минимизацией потери точности.</w:t>
      </w:r>
    </w:p>
    <w:p>
      <w:pPr>
        <w:pStyle w:val="ListNumber"/>
      </w:pPr>
      <w:r>
        <w:rPr>
          <w:rFonts w:ascii="Times New Roman" w:hAnsi="Times New Roman"/>
          <w:sz w:val="24"/>
        </w:rPr>
        <w:t>Сборка RKNN-модели с включённым квантованием и экспорт в файл с расширением .rknn.</w:t>
      </w:r>
    </w:p>
    <w:p>
      <w:pPr>
        <w:pStyle w:val="ListNumber"/>
      </w:pPr>
      <w:r>
        <w:rPr>
          <w:rFonts w:ascii="Times New Roman" w:hAnsi="Times New Roman"/>
          <w:sz w:val="24"/>
        </w:rPr>
        <w:t>Инференс на целевом устройстве через RKNN Runtime: модель загружается в память NPU, входной тензор передаётся из CPU в NPU, вычисления выполняются аппаратно, выходные тензоры возвращаются в CPU.</w:t>
      </w:r>
    </w:p>
    <w:p>
      <w:pPr>
        <w:pStyle w:val="Heading3"/>
      </w:pPr>
      <w:r>
        <w:rPr>
          <w:rFonts w:ascii="Times New Roman" w:hAnsi="Times New Roman"/>
        </w:rPr>
        <w:t>8.4.4 Теоретическая оценка производительности</w:t>
      </w:r>
    </w:p>
    <w:p>
      <w:pPr>
        <w:pStyle w:val="Heading4"/>
      </w:pPr>
      <w:r>
        <w:rPr>
          <w:rFonts w:ascii="Times New Roman" w:hAnsi="Times New Roman"/>
        </w:rPr>
        <w:t>Таблица 8.3. Ожидаемая производительность компонентов на различных платформах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CPU (i5-12450H)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GPU (GTX 1650)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RK3588 NPU (расчёт)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YOLOv8n (объекты)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38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12–18 мс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UFLDv2 (разметка)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42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8–12 мс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ByteTrack (трекинг)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 мс (CPU)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BEV + расчёт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 мс (CPU)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Отрисовка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 мс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 мс (CPU)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**Итого (параллельно)**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**76 мс**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**22 мс**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**25–35 мс**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**FPS**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**13,2**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**45**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**29–40**</w:t>
            </w:r>
          </w:p>
        </w:tc>
      </w:tr>
    </w:tbl>
    <w:p>
      <w:r>
        <w:rPr>
          <w:rFonts w:ascii="Times New Roman" w:hAnsi="Times New Roman"/>
          <w:sz w:val="24"/>
        </w:rPr>
        <w:t>Пояснения к оценкам для RK3588:</w:t>
      </w:r>
    </w:p>
    <w:p>
      <w:pPr>
        <w:pStyle w:val="ListBullet"/>
      </w:pPr>
      <w:r>
        <w:rPr>
          <w:rFonts w:ascii="Times New Roman" w:hAnsi="Times New Roman"/>
          <w:sz w:val="24"/>
        </w:rPr>
        <w:t>- Для модели YOLOv8n на NPU RK3588 ориентиром служат результаты аналогичных моделей (YOLOv5s), демонстрирующих порядка 30 кадров в секунду на RK3588 для одного инференса. YOLOv8n, как менее ресурсоёмкая модель, ожидаемо даёт 55–85 FPS инференса, что соответствует 12–18 мс на кадр с учётом препроцессинга.</w:t>
      </w:r>
    </w:p>
    <w:p>
      <w:pPr>
        <w:pStyle w:val="ListBullet"/>
      </w:pPr>
      <w:r>
        <w:rPr>
          <w:rFonts w:ascii="Times New Roman" w:hAnsi="Times New Roman"/>
          <w:sz w:val="24"/>
        </w:rPr>
        <w:t>- Модель UFLDv2 существенно легче YOLOv8n (3,0 МБ против 6,3 МБ) и выполняет преимущественно операции классификации, эффективно реализуемые на NPU. Ожидаемое время инференса составляет 8–12 мс.</w:t>
      </w:r>
    </w:p>
    <w:p>
      <w:pPr>
        <w:pStyle w:val="ListBullet"/>
      </w:pPr>
      <w:r>
        <w:rPr>
          <w:rFonts w:ascii="Times New Roman" w:hAnsi="Times New Roman"/>
          <w:sz w:val="24"/>
        </w:rPr>
        <w:t>- Стадии трекинга (ByteTrack), BEV-преобразования и графической отрисовки выполняются на центральном процессоре Cortex-A76 и не могут быть ускорены NPU. Их время оценивается в ~18 мс суммарно.</w:t>
      </w:r>
    </w:p>
    <w:p>
      <w:pPr>
        <w:pStyle w:val="ListBullet"/>
      </w:pPr>
      <w:r>
        <w:rPr>
          <w:rFonts w:ascii="Times New Roman" w:hAnsi="Times New Roman"/>
          <w:sz w:val="24"/>
        </w:rPr>
        <w:t>- С учётом параллельного выполнения YOLOv8n и UFLDv2 на NPU общее время кадра составит max(12–18, 8–12) + 18 = 30–36 мс, что даёт 28–33 FPS.</w:t>
      </w:r>
    </w:p>
    <w:p>
      <w:pPr>
        <w:pStyle w:val="Heading4"/>
      </w:pPr>
      <w:r>
        <w:rPr>
          <w:rFonts w:ascii="Times New Roman" w:hAnsi="Times New Roman"/>
        </w:rPr>
        <w:t>Таблица 8.4. Сравнение конфигураций на RK3588 NPU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Конфигурация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(CPU i5)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(GPU)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(RK3588 NPU, расчёт)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Базовая (полное разрешение, последовательно)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20–28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Параллельная (полное разрешение)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13,2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29–40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Оптимизированная (scale 0,75, skip 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19,4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35–50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8.4.5 Ограничения и риски</w:t>
      </w:r>
    </w:p>
    <w:p>
      <w:pPr>
        <w:pStyle w:val="ListNumber"/>
      </w:pPr>
      <w:r>
        <w:rPr>
          <w:rFonts w:ascii="Times New Roman" w:hAnsi="Times New Roman"/>
          <w:sz w:val="24"/>
        </w:rPr>
        <w:t>Совместимость операций. Не все операции, присутствующие в ONNX-моделях, поддерживаются NPU RK3588. Некоторые операции (например, нестандартные функции активации, операции изменения формы тензора) могут быть вынужденно выполнены на CPU, что создаёт дополнительную задержку на передачу данных между CPU и NPU.</w:t>
      </w:r>
    </w:p>
    <w:p>
      <w:pPr>
        <w:pStyle w:val="ListNumber"/>
      </w:pPr>
      <w:r>
        <w:rPr>
          <w:rFonts w:ascii="Times New Roman" w:hAnsi="Times New Roman"/>
          <w:sz w:val="24"/>
        </w:rPr>
        <w:t>Потеря точности при квантовании. Посттренировочное квантование INT8 приводит к снижению mAP YOLOv8n на 1,8 процентных пункта и F1 UFLDv2 на 0,7 пункта (см. раздел 6.7). Данное снижение является приемлемым для целевого применения.</w:t>
      </w:r>
    </w:p>
    <w:p>
      <w:pPr>
        <w:pStyle w:val="ListNumber"/>
      </w:pPr>
      <w:r>
        <w:rPr>
          <w:rFonts w:ascii="Times New Roman" w:hAnsi="Times New Roman"/>
          <w:sz w:val="24"/>
        </w:rPr>
        <w:t>Ограничения памяти. Минимальная конфигурация RK3588 включает 4 ГБ оперативной памяти. Суммарный размер двух моделей (YOLOv8n + UFLDv2) в формате FP32 составляет ~9,3 МБ; в формате INT8 — ~2,4 МБ. Однако операционная система, фреймворк RKNN Runtime и буферы кадров также потребляют память. При 4 ГБ запас достаточен, но при добавлении третьей модели (например, для распознавания знаков) потребуется оптимизация.</w:t>
      </w:r>
    </w:p>
    <w:p>
      <w:pPr>
        <w:pStyle w:val="ListNumber"/>
      </w:pPr>
      <w:r>
        <w:rPr>
          <w:rFonts w:ascii="Times New Roman" w:hAnsi="Times New Roman"/>
          <w:sz w:val="24"/>
        </w:rPr>
        <w:t>Тепловой режим. NPU RK3588 при полной нагрузке выделяет дополнительное тепло (расчётное энергопотребление NPU — 2–3 Вт из общих 8–15 Вт). В герметичном корпусе без активного охлаждения возможен троттлинг — принудительное снижение частоты NPU для предотвращения перегрева, что приведёт к падению FPS.</w:t>
      </w:r>
    </w:p>
    <w:p>
      <w:pPr>
        <w:pStyle w:val="ListNumber"/>
      </w:pPr>
      <w:r>
        <w:rPr>
          <w:rFonts w:ascii="Times New Roman" w:hAnsi="Times New Roman"/>
          <w:sz w:val="24"/>
        </w:rPr>
        <w:t>Отсутствие совместимости с CUDA. RKNN Runtime является проприетарным программным стеком Rockchip и несовместим с экосистемой CUDA/NVIDIA. Требуется реализация отдельного пути инференса, наследующего базовый интерфейс движка, с реализацией, специфичной для RKNN.</w:t>
      </w:r>
    </w:p>
    <w:p>
      <w:pPr>
        <w:pStyle w:val="Heading3"/>
      </w:pPr>
      <w:r>
        <w:rPr>
          <w:rFonts w:ascii="Times New Roman" w:hAnsi="Times New Roman"/>
        </w:rPr>
        <w:t>8.4.6 План эксперимента</w:t>
      </w:r>
    </w:p>
    <w:p>
      <w:pPr>
        <w:pStyle w:val="ListNumber"/>
      </w:pPr>
      <w:r>
        <w:rPr>
          <w:rFonts w:ascii="Times New Roman" w:hAnsi="Times New Roman"/>
          <w:sz w:val="24"/>
        </w:rPr>
        <w:t>Конвертация модели YOLOv8n из ONNX в RKNN с посттренировочным квантованием INT8 на калибровочном наборе;</w:t>
      </w:r>
    </w:p>
    <w:p>
      <w:pPr>
        <w:pStyle w:val="ListNumber"/>
      </w:pPr>
      <w:r>
        <w:rPr>
          <w:rFonts w:ascii="Times New Roman" w:hAnsi="Times New Roman"/>
          <w:sz w:val="24"/>
        </w:rPr>
        <w:t>Конвертация модели UFLDv2-TuSimple-Res18 из ONNX в RKNN с квантованием INT8;</w:t>
      </w:r>
    </w:p>
    <w:p>
      <w:pPr>
        <w:pStyle w:val="ListNumber"/>
      </w:pPr>
      <w:r>
        <w:rPr>
          <w:rFonts w:ascii="Times New Roman" w:hAnsi="Times New Roman"/>
          <w:sz w:val="24"/>
        </w:rPr>
        <w:t>Реализация специализированного движка инференса для RKNN, наследующего базовый интерфейс абстрактного движка ONNX, с поддержкой загрузки RKNN-моделей и выполнения инференса через RKNN Runtime;</w:t>
      </w:r>
    </w:p>
    <w:p>
      <w:pPr>
        <w:pStyle w:val="ListNumber"/>
      </w:pPr>
      <w:r>
        <w:rPr>
          <w:rFonts w:ascii="Times New Roman" w:hAnsi="Times New Roman"/>
          <w:sz w:val="24"/>
        </w:rPr>
        <w:t>Интеграция RKNN-движка в основной конвейер обработки с возможностью выбора целевого движка через конфигурацию;</w:t>
      </w:r>
    </w:p>
    <w:p>
      <w:pPr>
        <w:pStyle w:val="ListNumber"/>
      </w:pPr>
      <w:r>
        <w:rPr>
          <w:rFonts w:ascii="Times New Roman" w:hAnsi="Times New Roman"/>
          <w:sz w:val="24"/>
        </w:rPr>
        <w:t>Замеры времени инференса на RK3588 с разделением на NPU- и CPU-компоненты;</w:t>
      </w:r>
    </w:p>
    <w:p>
      <w:pPr>
        <w:pStyle w:val="ListNumber"/>
      </w:pPr>
      <w:r>
        <w:rPr>
          <w:rFonts w:ascii="Times New Roman" w:hAnsi="Times New Roman"/>
          <w:sz w:val="24"/>
        </w:rPr>
        <w:t>Сравнение точности моделей до и после квантования (mAP, F1) на тестовой выборке;</w:t>
      </w:r>
    </w:p>
    <w:p>
      <w:pPr>
        <w:pStyle w:val="ListNumber"/>
      </w:pPr>
      <w:r>
        <w:rPr>
          <w:rFonts w:ascii="Times New Roman" w:hAnsi="Times New Roman"/>
          <w:sz w:val="24"/>
        </w:rPr>
        <w:t>Сравнение общей частоты кадров конвейера с эталонными значениями на CPU x86-64.</w:t>
      </w:r>
    </w:p>
    <w:p>
      <w:pPr>
        <w:pStyle w:val="Heading2"/>
      </w:pPr>
      <w:r>
        <w:rPr>
          <w:rFonts w:ascii="Times New Roman" w:hAnsi="Times New Roman"/>
        </w:rPr>
        <w:t>8.5 Концепция комплексирования сенсоров (multi-sensor fusion)</w:t>
      </w:r>
    </w:p>
    <w:p>
      <w:r>
        <w:rPr>
          <w:rFonts w:ascii="Times New Roman" w:hAnsi="Times New Roman"/>
          <w:sz w:val="24"/>
        </w:rPr>
        <w:t>Текущая версия прототипа использует единственный сенсор — монокулярную камеру. Расширение сенсорной подсистемы за счёт добавления инерциального измерительного модуля (IMU) и данных одометрии (с CAN-шины автобуса) открывает возможности для повышения точности и надёжности системы.</w:t>
      </w:r>
    </w:p>
    <w:p>
      <w:pPr>
        <w:pStyle w:val="Heading3"/>
      </w:pPr>
      <w:r>
        <w:rPr>
          <w:rFonts w:ascii="Times New Roman" w:hAnsi="Times New Roman"/>
        </w:rPr>
        <w:t>IMU: компенсация крена и тангажа</w:t>
      </w:r>
    </w:p>
    <w:p>
      <w:r>
        <w:rPr>
          <w:rFonts w:ascii="Times New Roman" w:hAnsi="Times New Roman"/>
          <w:sz w:val="24"/>
        </w:rPr>
        <w:t>Гироскоп и акселерометр IMU позволяют измерять мгновенные углы крена (roll) и тангажа (pitch) автобуса в реальном времени. Эти данные могут быть использованы для коррекции BEV-преобразования: при крене автобуса на повороте (до 5–7 градусов для городского автобуса) плоскость дороги в изображении поворачивается, что приводит к систематической ошибке оценки бокового смещения. Компенсация угла крена на основе данных IMU — путём обратного поворота исходных точек BEV на измеренный угол — потенциально снижает MAE смещения ещё на 15–20% относительно чисто динамической коррекции.</w:t>
      </w:r>
    </w:p>
    <w:p>
      <w:pPr>
        <w:pStyle w:val="Heading3"/>
      </w:pPr>
      <w:r>
        <w:rPr>
          <w:rFonts w:ascii="Times New Roman" w:hAnsi="Times New Roman"/>
        </w:rPr>
        <w:t>Одометрия: оценка собственной скорости</w:t>
      </w:r>
    </w:p>
    <w:p>
      <w:r>
        <w:rPr>
          <w:rFonts w:ascii="Times New Roman" w:hAnsi="Times New Roman"/>
          <w:sz w:val="24"/>
        </w:rPr>
        <w:t>Данные о скорости автобуса с CAN-шины являются необходимым условием для реализации адаптивных порогов FCWS по скорости (раздел 7.8) и для оценки времени до столкновения (TTC) на основе производной дистанции. При известной собственной скорости относительная скорость сближения с впереди идущим автомобилем может быть оценена как производная дистанции по времени (конечная разность между последовательными кадрами), что позволяет вычислять TTC более точно, чем по мгновенной дистанции.</w:t>
      </w:r>
    </w:p>
    <w:p>
      <w:pPr>
        <w:pStyle w:val="Heading3"/>
      </w:pPr>
      <w:r>
        <w:rPr>
          <w:rFonts w:ascii="Times New Roman" w:hAnsi="Times New Roman"/>
        </w:rPr>
        <w:t>Расширенный фильтр Калмана для сенсорного комплексирования</w:t>
      </w:r>
    </w:p>
    <w:p>
      <w:r>
        <w:rPr>
          <w:rFonts w:ascii="Times New Roman" w:hAnsi="Times New Roman"/>
          <w:sz w:val="24"/>
        </w:rPr>
        <w:t>Для объединения данных от нескольких сенсоров предложена архитектура на основе расширенного фильтра Калмана (Extended Kalman Filter, EKF). Вектор состояния фильтра включает:</w:t>
      </w:r>
    </w:p>
    <w:p>
      <w:pPr>
        <w:pStyle w:val="ListBullet"/>
      </w:pPr>
      <w:r>
        <w:rPr>
          <w:rFonts w:ascii="Times New Roman" w:hAnsi="Times New Roman"/>
          <w:sz w:val="24"/>
        </w:rPr>
        <w:t>- Положение автобуса относительно полосы: боковое смещение (из BEV + камера) и продольная координата (из одометрии);</w:t>
      </w:r>
    </w:p>
    <w:p>
      <w:pPr>
        <w:pStyle w:val="ListBullet"/>
      </w:pPr>
      <w:r>
        <w:rPr>
          <w:rFonts w:ascii="Times New Roman" w:hAnsi="Times New Roman"/>
          <w:sz w:val="24"/>
        </w:rPr>
        <w:t>- Ориентация: угол рыскания (из гироскопа IMU) и углы крена/тангажа;</w:t>
      </w:r>
    </w:p>
    <w:p>
      <w:pPr>
        <w:pStyle w:val="ListBullet"/>
      </w:pPr>
      <w:r>
        <w:rPr>
          <w:rFonts w:ascii="Times New Roman" w:hAnsi="Times New Roman"/>
          <w:sz w:val="24"/>
        </w:rPr>
        <w:t>- Скорость: линейная скорость (из одометрии) и угловая скорость (из гироскопа).</w:t>
      </w:r>
    </w:p>
    <w:p>
      <w:r>
        <w:rPr>
          <w:rFonts w:ascii="Times New Roman" w:hAnsi="Times New Roman"/>
          <w:sz w:val="24"/>
        </w:rPr>
        <w:t>На каждом кадре выполняется предсказание (на основе модели движения, интегрирующей одометрию и IMU) и коррекция (на основе измерений от камеры — координат полос и дистанций до объектов). EKF естественным образом сглаживает шум измерений и обеспечивает непрерывность оценки даже при кратковременных пропусках детекции.</w:t>
      </w:r>
    </w:p>
    <w:p>
      <w:r>
        <w:rPr>
          <w:rFonts w:ascii="Times New Roman" w:hAnsi="Times New Roman"/>
          <w:sz w:val="24"/>
        </w:rPr>
        <w:t>Реализация сенсорного комплексирования выходит за рамки текущего прототипа и представляет собой направление для следующей итерации системы.</w:t>
      </w:r>
    </w:p>
    <w:p>
      <w:pPr>
        <w:pStyle w:val="Heading2"/>
      </w:pPr>
      <w:r>
        <w:rPr>
          <w:rFonts w:ascii="Times New Roman" w:hAnsi="Times New Roman"/>
        </w:rPr>
        <w:t>8.6 Вывод</w:t>
      </w:r>
    </w:p>
    <w:p>
      <w:pPr>
        <w:pStyle w:val="ListNumber"/>
      </w:pPr>
      <w:r>
        <w:rPr>
          <w:rFonts w:ascii="Times New Roman" w:hAnsi="Times New Roman"/>
          <w:sz w:val="24"/>
        </w:rPr>
        <w:t>Динамическая коррекция зоны BEV-преобразования снижает среднюю абсолютную ошибку оценки смещения на 44% (с 0,32 до 0,18 м) и количество ложных предупреждений LDWS/LKAS на 27–39% по сравнению со статической конфигурацией при минимальном влиянии на частоту кадров (менее 1%).</w:t>
      </w:r>
    </w:p>
    <w:p>
      <w:pPr>
        <w:pStyle w:val="ListNumber"/>
      </w:pPr>
      <w:r>
        <w:rPr>
          <w:rFonts w:ascii="Times New Roman" w:hAnsi="Times New Roman"/>
          <w:sz w:val="24"/>
        </w:rPr>
        <w:t>Развёртывание на платформе RK3588 NPU потенциально обеспечивает производительность 29–40 кадров в секунду — в 2–3 раза выше, чем на CPU x86-64, при сопоставимом энергопотреблении (8–15 Вт против 45+ Вт). Это делает RK3588 перспективной целевой платформой для серийной версии системы.</w:t>
      </w:r>
    </w:p>
    <w:p>
      <w:pPr>
        <w:pStyle w:val="ListNumber"/>
      </w:pPr>
      <w:r>
        <w:rPr>
          <w:rFonts w:ascii="Times New Roman" w:hAnsi="Times New Roman"/>
          <w:sz w:val="24"/>
        </w:rPr>
        <w:t>Переход от четырёхточечной гомографии к полной IPM-калибровке с учётом внутренних и внешних параметров камеры способен дополнительно повысить точность оценки смещения, однако требует выполнения полной процедуры калибровки сенсорной подсистемы.</w:t>
      </w:r>
    </w:p>
    <w:p>
      <w:pPr>
        <w:pStyle w:val="ListNumber"/>
      </w:pPr>
      <w:r>
        <w:rPr>
          <w:rFonts w:ascii="Times New Roman" w:hAnsi="Times New Roman"/>
          <w:sz w:val="24"/>
        </w:rPr>
        <w:t>Комплексирование данных камеры с инерциальным модулем (IMU) и одометрией открывает возможности для компенсации крена автобуса, реализации адаптивных порогов по скорости и повышения робастности системы через расширенный фильтр Калмана.</w:t>
      </w:r>
    </w:p>
    <w:p>
      <w:pPr>
        <w:pStyle w:val="ListNumber"/>
      </w:pPr>
      <w:r>
        <w:rPr>
          <w:rFonts w:ascii="Times New Roman" w:hAnsi="Times New Roman"/>
          <w:sz w:val="24"/>
        </w:rPr>
        <w:t>Основные риски развёртывания на RK3588: неполная совместимость ONNX-операций с NPU, потеря точности при INT8-квантовании (1,8 п.п. mAP для YOLOv8n), ограничение по памяти (4 ГБ), тепловой троттлинг NPU.</w:t>
      </w:r>
    </w:p>
    <w:p/>
    <w:p>
      <w:r>
        <w:rPr>
          <w:rFonts w:ascii="Times New Roman" w:hAnsi="Times New Roman"/>
          <w:b/>
          <w:sz w:val="24"/>
        </w:rPr>
        <w:t>Источники:</w:t>
      </w:r>
    </w:p>
    <w:p>
      <w:r>
        <w:rPr>
          <w:rFonts w:ascii="Times New Roman" w:hAnsi="Times New Roman"/>
          <w:sz w:val="24"/>
        </w:rPr>
        <w:t>[9] Rockchip RKNN Toolkit 2 Documentation. — Rockchip Electronics,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