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Regulatory Considerations &amp; Scope Deferrals</w:t>
      </w:r>
    </w:p>
    <w:p>
      <w:pPr>
        <w:spacing w:after="40"/>
      </w:pPr>
      <w:r>
        <w:rPr>
          <w:i/>
          <w:iCs/>
          <w:sz w:val="24"/>
          <w:szCs w:val="24"/>
        </w:rPr>
        <w:t xml:space="preserve">Supplement Recommendation Engine — BITSoM ABM Term 4</w:t>
      </w:r>
    </w:p>
    <w:p>
      <w:pPr>
        <w:spacing w:after="320"/>
      </w:pPr>
      <w:r>
        <w:rPr>
          <w:i/>
          <w:iCs/>
          <w:color w:val="555555"/>
          <w:sz w:val="20"/>
          <w:szCs w:val="20"/>
        </w:rPr>
        <w:t xml:space="preserve">Package I — Regulatory Disclaimer &amp; Deferral Writeup</w:t>
      </w:r>
    </w:p>
    <w:p>
      <w:pPr>
        <w:pStyle w:val="Heading1"/>
        <w:spacing w:after="160" w:before="360"/>
      </w:pPr>
      <w:r>
        <w:t xml:space="preserve">1. In-Product Disclaimer</w:t>
      </w:r>
    </w:p>
    <w:p>
      <w:pPr>
        <w:spacing w:after="160"/>
      </w:pPr>
      <w:r>
        <w:t xml:space="preserve">This is the copy shown on every results screen, in the app's UI:</w:t>
      </w:r>
    </w:p>
    <w:p>
      <w:pPr>
        <w:pBdr>
          <w:left w:val="single" w:color="888888" w:sz="24" w:space="12"/>
        </w:pBdr>
        <w:shd w:fill="F2F2F2" w:val="clear"/>
        <w:spacing w:after="240" w:before="120"/>
        <w:ind w:left="200"/>
      </w:pPr>
      <w:r>
        <w:rPr>
          <w:b/>
          <w:bCs/>
        </w:rPr>
        <w:t xml:space="preserve">Not medical advice. </w:t>
      </w:r>
      <w:r>
        <w:t xml:space="preserve">This tool suggests supplements based on the information you provided and published evidence — it does not diagnose any condition and is not a substitute for a doctor. The supplements and claims shown here are not evaluated by FSSAI or the FDA for the specific benefits described. Where this tool says to talk to a doctor first, that means exactly that — please don’t start or stop anything based on this page alone.</w:t>
      </w:r>
    </w:p>
    <w:p>
      <w:pPr>
        <w:spacing w:after="160"/>
      </w:pPr>
      <w:r>
        <w:t xml:space="preserve">This covers the four things a defensible disclaimer needs to say: this is not medical advice, not a diagnosis, not FSSAI/FDA-evaluated, and an escalation is a real instruction to see a professional, not a soft suggestion.</w:t>
      </w:r>
    </w:p>
    <w:p>
      <w:pPr>
        <w:pStyle w:val="Heading1"/>
        <w:spacing w:after="160" w:before="360"/>
      </w:pPr>
      <w:r>
        <w:t xml:space="preserve">2. Regulatory Considerations</w:t>
      </w:r>
    </w:p>
    <w:p>
      <w:pPr>
        <w:spacing w:after="160"/>
      </w:pPr>
      <w:r>
        <w:t xml:space="preserve">The company is India-first, so Indian food, advertising, and data-privacy law all apply from day one — even though none of it is implemented in this build (see Section 3). This section is deliberately specific, grounded in real regulatory text and in what this codebase actually does today, rather than a general “we should check regulations” note.</w:t>
      </w:r>
    </w:p>
    <w:p>
      <w:pPr>
        <w:pStyle w:val="Heading2"/>
        <w:spacing w:after="120" w:before="280"/>
      </w:pPr>
      <w:r>
        <w:t xml:space="preserve">2.1 FSSAI — What Actually Governs a Supplement Product in India</w:t>
      </w:r>
    </w:p>
    <w:p>
      <w:pPr>
        <w:spacing w:after="160"/>
      </w:pPr>
      <w:r>
        <w:t xml:space="preserve">The controlling regulation is the Food Safety and Standards (Health Supplements, Nutraceuticals, Foods for Special Dietary Use, Food for Special Medical Purpose, Functional Food and Novel Food) Regulations, 2016, in force since January 1, 2018. Three provisions are directly relevant to what this product would need before it could sell anything for real, not just recommend it:</w:t>
      </w:r>
    </w:p>
    <w:p>
      <w:pPr>
        <w:pStyle w:val="ListParagraph"/>
        <w:numPr>
          <w:ilvl w:val="0"/>
          <w:numId w:val="2"/>
        </w:numPr>
        <w:spacing w:after="120"/>
      </w:pPr>
      <w:r>
        <w:rPr>
          <w:b/>
          <w:bCs/>
        </w:rPr>
        <w:t xml:space="preserve">Dosage is capped, not just suggested. </w:t>
      </w:r>
      <w:r>
        <w:t xml:space="preserve">A health supplement's vitamin and mineral content is capped at 100% of RDA per recommended daily serving. The product's own upper-limit ledger currently checks IOM/FDA limits, not this FSSAI-specific cap — a real build would need to check both, with the stricter limit winning.</w:t>
      </w:r>
    </w:p>
    <w:p>
      <w:pPr>
        <w:pStyle w:val="ListParagraph"/>
        <w:numPr>
          <w:ilvl w:val="0"/>
          <w:numId w:val="2"/>
        </w:numPr>
        <w:spacing w:after="120"/>
      </w:pPr>
      <w:r>
        <w:rPr>
          <w:b/>
          <w:bCs/>
        </w:rPr>
        <w:t xml:space="preserve">Ingredients are a positive list, not “anything safe.” </w:t>
      </w:r>
      <w:r>
        <w:t xml:space="preserve">Only ingredients named in Schedule VI (at the standardization and daily-usage level specified there), or botanicals under Schedules IV/VI, may be used in a health supplement. The engine's existing compound/ingredient data model is well-positioned to add a Schedule VI eligibility check as one more rule — but that check does not exist today.</w:t>
      </w:r>
    </w:p>
    <w:p>
      <w:pPr>
        <w:pStyle w:val="ListParagraph"/>
        <w:numPr>
          <w:ilvl w:val="0"/>
          <w:numId w:val="2"/>
        </w:numPr>
        <w:spacing w:after="120"/>
      </w:pPr>
      <w:r>
        <w:rPr>
          <w:b/>
          <w:bCs/>
        </w:rPr>
        <w:t xml:space="preserve">A Central FSSAI License is mandatory regardless of turnover </w:t>
      </w:r>
      <w:r>
        <w:t xml:space="preserve">for nutraceutical/health-supplement manufacturers and importers, and separately for e-commerce platforms that merely link to or facilitate sales of food products — exactly what this product's marketplace-redirect model does today, without any licensing relationship in place yet.</w:t>
      </w:r>
    </w:p>
    <w:p>
      <w:pPr>
        <w:pStyle w:val="Heading2"/>
        <w:spacing w:after="120" w:before="280"/>
      </w:pPr>
      <w:r>
        <w:t xml:space="preserve">2.2 Claims and Advertising — Two Overlapping Laws, Not One</w:t>
      </w:r>
    </w:p>
    <w:p>
      <w:pPr>
        <w:spacing w:after="160"/>
      </w:pPr>
      <w:r>
        <w:t xml:space="preserve">The Food Safety and Standards (Advertising and Claims) Regulations, 2018 require every health/nutritional claim to be truthful, unambiguous, and backed by statistically significant results from peer-reviewed, Good-Clinical-Practice studies — and require pre-approval before a claim is made at all. Claims cannot imply a product is “recommended by medical/health professionals,” and any claim that reads as disease-risk reduction falls under CDSCO's jurisdiction, not FSSAI's, entirely. Non-compliance carries a ₹10 lakh penalty per misleading claim, compoundable up to ₹25 lakh.</w:t>
      </w:r>
    </w:p>
    <w:p>
      <w:pPr>
        <w:spacing w:after="160"/>
      </w:pPr>
      <w:r>
        <w:t xml:space="preserve">Separately, the Drugs and Magic Remedies (Objectionable Advertisements) Act, 1954 — older, broader than food law, and still in force — bans advertising that claims to cure, diagnose, or prevent any of a scheduled list of conditions, regardless of whether the product is legally a “drug.” This constrains how an explanation string can be worded, not just its evidentiary basis — a defensible-sounding evidence citation is not the same thing as a compliant advertisement.</w:t>
      </w:r>
    </w:p>
    <w:p>
      <w:pPr>
        <w:spacing w:after="160"/>
      </w:pPr>
      <w:r>
        <w:t xml:space="preserve">This is directly relevant to the engine's own design rule: every recommendation's “why” text is generated from a real predicate trace, never invented — necessary for defensibility, but not sufficient for compliance. A real launch would need every claim's wording, not just its evidentiary basis, legally reviewed against both Acts before it ships.</w:t>
      </w:r>
    </w:p>
    <w:p>
      <w:pPr>
        <w:pStyle w:val="Heading2"/>
        <w:spacing w:after="120" w:before="280"/>
      </w:pPr>
      <w:r>
        <w:t xml:space="preserve">2.3 Data Privacy — The Questionnaire Collects Exactly the Sensitive Category</w:t>
      </w:r>
    </w:p>
    <w:p>
      <w:pPr>
        <w:spacing w:after="160"/>
      </w:pPr>
      <w:r>
        <w:t xml:space="preserve">The intake questionnaire asks about medications and health conditions specifically for safety escalation. Under the Digital Personal Data Protection Act, 2023, this is exactly the kind of data that triggers the Act's heightened notice-and-consent bar: consent must be free, specific, informed, unconditional, and given through a clear affirmative action, preceded by a clear notice — a pre-ticked checkbox or a buried clause does not qualify.</w:t>
      </w:r>
    </w:p>
    <w:p>
      <w:pPr>
        <w:spacing w:after="160"/>
      </w:pPr>
      <w:r>
        <w:t xml:space="preserve">Today, that free-text field is documented at the application-logic level as “used only for escalation, never diagnosis, never stored beyond that use,” but there is currently no explicit DPDPA-style consent notice shown before the question is asked, and no defined data-retention policy for that field in the database. Both would be required before real users' data, not sample profiles, flow through this schema.</w:t>
      </w:r>
    </w:p>
    <w:p>
      <w:pPr>
        <w:pStyle w:val="Heading2"/>
        <w:spacing w:after="120" w:before="280"/>
      </w:pPr>
      <w:r>
        <w:t xml:space="preserve">2.4 Why the 4-Tier Safety Model Is the Target Architecture</w:t>
      </w:r>
    </w:p>
    <w:p>
      <w:pPr>
        <w:spacing w:after="160"/>
      </w:pPr>
      <w:r>
        <w:t xml:space="preserve">The original product design is a four-state safety model: Green (automated), Yellow (risk-based additional screening), Red (requires deficiency/risk assessment before a high-dose or therapeutic recommendation), and Black (outside automated scope entirely — escalate). The 3-day MVP scope deliberately collapsed this to two states — Auto-recommendable and Escalate — because correctly calibrating the Yellow/Red boundary for a wide ingredient list in three days is not realistic, and a wrong boundary is worse than an honestly narrow one.</w:t>
      </w:r>
    </w:p>
    <w:p>
      <w:pPr>
        <w:spacing w:after="160"/>
      </w:pPr>
      <w:r>
        <w:t xml:space="preserve">This is still true today, but the picture has moved since the MVP was first scoped. Four ingredients originally proposed as Yellow-tier (beta-alanine, caffeine, collagen peptides, magnesium) now have real eligibility, dosing, and safety policies of their own — each folded into the same 2-state model with a real contraindication rule attached. This is concrete evidence that the architecture generalizes to a Yellow-style distinction, not just an assertion that it could.</w:t>
      </w:r>
    </w:p>
    <w:p>
      <w:pPr>
        <w:spacing w:after="160"/>
      </w:pPr>
      <w:r>
        <w:t xml:space="preserve">The Red tier is genuinely not there yet. Iron, vitamin D3, vitamin B12, zinc, calcium, and folate exist in the data model — needed so the multivitamin's upper-limit and iron-overload safety logic can reason about them — but none has its own standalone eligibility or dosing policy, so none can be recommended as a standalone supplement today. That is the correct state for an unimplemented Red tier: present enough in the data model to avoid a future schema change, absent enough that nothing is auto-recommended without real governance.</w:t>
      </w:r>
    </w:p>
    <w:p>
      <w:pPr>
        <w:spacing w:after="160"/>
      </w:pPr>
      <w:r>
        <w:rPr>
          <w:b/>
          <w:bCs/>
        </w:rPr>
        <w:t xml:space="preserve">What full Red-tier calibration would require, concretely:</w:t>
      </w:r>
    </w:p>
    <w:p>
      <w:pPr>
        <w:pStyle w:val="ListParagraph"/>
        <w:numPr>
          <w:ilvl w:val="0"/>
          <w:numId w:val="2"/>
        </w:numPr>
        <w:spacing w:after="120"/>
      </w:pPr>
      <w:r>
        <w:rPr>
          <w:b/>
          <w:bCs/>
        </w:rPr>
        <w:t xml:space="preserve">Lab-value or validated risk-marker inputs. </w:t>
      </w:r>
      <w:r>
        <w:t xml:space="preserve">A standalone iron or B12 recommendation without a real deficiency signal repeats the exact mistake the original design explicitly warns against: treating “may have a higher risk of inadequate intake” as if it were “should take a high-dose standalone supplement.” Today's questionnaire has no lab-value fields at all, by deliberate design decision.</w:t>
      </w:r>
    </w:p>
    <w:p>
      <w:pPr>
        <w:pStyle w:val="ListParagraph"/>
        <w:numPr>
          <w:ilvl w:val="0"/>
          <w:numId w:val="2"/>
        </w:numPr>
        <w:spacing w:after="120"/>
      </w:pPr>
      <w:r>
        <w:rPr>
          <w:b/>
          <w:bCs/>
        </w:rPr>
        <w:t xml:space="preserve">A dose-response / interaction risk model per Red-tier compound, </w:t>
      </w:r>
      <w:r>
        <w:t xml:space="preserve">expert-authored the same way the current safety policies were. Iron-overload risk, for example, is dose- and duration-dependent, which the underlying rule model can already express — nobody has authored that rule for these six compounds yet.</w:t>
      </w:r>
    </w:p>
    <w:p>
      <w:pPr>
        <w:pStyle w:val="ListParagraph"/>
        <w:numPr>
          <w:ilvl w:val="0"/>
          <w:numId w:val="2"/>
        </w:numPr>
        <w:spacing w:after="120"/>
      </w:pPr>
      <w:r>
        <w:rPr>
          <w:b/>
          <w:bCs/>
        </w:rPr>
        <w:t xml:space="preserve">A distinct escalation framing for Red vs. Black in the UI. </w:t>
      </w:r>
      <w:r>
        <w:t xml:space="preserve">Today every escalation renders with the same calm, non-alarming copy, which is right for a Black case (“this needs a clinician's judgment, full stop”) but would undersell how close a Red case might be to a safe answer if one more data point were available.</w:t>
      </w:r>
    </w:p>
    <w:p>
      <w:pPr>
        <w:spacing w:after="160"/>
      </w:pPr>
      <w:r>
        <w:t xml:space="preserve">None of this is a rewrite — the rule engine, the per-judgment expert sign-off pattern, and the compound/policy separation the data layer already has are the right substrate for it. It is expert time and new input fields, not new architecture.</w:t>
      </w:r>
    </w:p>
    <w:p>
      <w:pPr>
        <w:pStyle w:val="Heading1"/>
        <w:spacing w:after="160" w:before="360"/>
      </w:pPr>
      <w:r>
        <w:t xml:space="preserve">3. What's Implemented vs. Deferred, and Why</w:t>
      </w:r>
    </w:p>
    <w:p>
      <w:pPr>
        <w:spacing w:after="160"/>
      </w:pPr>
      <w:r>
        <w:t xml:space="preserve">Each of the following was a deliberate scope call made explicit during MVP planning, not an oversight discovered late.</w:t>
      </w:r>
    </w:p>
    <w:p>
      <w:pPr>
        <w:pStyle w:val="ListParagraph"/>
        <w:numPr>
          <w:ilvl w:val="0"/>
          <w:numId w:val="2"/>
        </w:numPr>
        <w:spacing w:after="120"/>
      </w:pPr>
      <w:r>
        <w:rPr>
          <w:b/>
          <w:bCs/>
        </w:rPr>
        <w:t xml:space="preserve">4-tier safety model → collapsed to 2 states. </w:t>
      </w:r>
      <w:r>
        <w:t xml:space="preserve">Calibrating Yellow vs. Red risk boundaries correctly needs expert time a 3-day build doesn't have, and a wrong boundary actively erodes the “we say no when appropriate” trust story the product depends on — narrower-but-correct beat wider-but-guessed. See Section 2.4 for exactly what extending it would require.</w:t>
      </w:r>
    </w:p>
    <w:p>
      <w:pPr>
        <w:pStyle w:val="ListParagraph"/>
        <w:numPr>
          <w:ilvl w:val="0"/>
          <w:numId w:val="2"/>
        </w:numPr>
        <w:spacing w:after="120"/>
      </w:pPr>
      <w:r>
        <w:rPr>
          <w:b/>
          <w:bCs/>
        </w:rPr>
        <w:t xml:space="preserve">Regulatory / FSSAI → not implemented, awareness only. </w:t>
      </w:r>
      <w:r>
        <w:t xml:space="preserve">Building real FSSAI compliance before validating the product concept would be solving a distribution problem before there is anything to distribute. Sections 2.1–2.3 above are the concrete version of “awareness,” not a placeholder.</w:t>
      </w:r>
    </w:p>
    <w:p>
      <w:pPr>
        <w:pStyle w:val="ListParagraph"/>
        <w:numPr>
          <w:ilvl w:val="0"/>
          <w:numId w:val="2"/>
        </w:numPr>
        <w:spacing w:after="120"/>
      </w:pPr>
      <w:r>
        <w:rPr>
          <w:b/>
          <w:bCs/>
        </w:rPr>
        <w:t xml:space="preserve">Personalization / adherence-outcome feedback loop → deferred. </w:t>
      </w:r>
      <w:r>
        <w:t xml:space="preserve">The decision-record schema already reserves columns for adherence and outcome reporting, but nothing writes or reads them yet. The loop needs a return-visit UX and a way to ask “did this help” without over-claiming clinical evidence from self-reported outcomes — a design problem, not just a missing feature.</w:t>
      </w:r>
    </w:p>
    <w:p>
      <w:pPr>
        <w:pStyle w:val="ListParagraph"/>
        <w:numPr>
          <w:ilvl w:val="0"/>
          <w:numId w:val="2"/>
        </w:numPr>
        <w:spacing w:after="120"/>
      </w:pPr>
      <w:r>
        <w:rPr>
          <w:b/>
          <w:bCs/>
        </w:rPr>
        <w:t xml:space="preserve">Food recommendations → explicitly out of scope. </w:t>
      </w:r>
      <w:r>
        <w:t xml:space="preserve">Supplements plus gap math only. Adding food recommendations would roughly double the data layer (a food composition database, portion-size reasoning, a different UX) — scope creep against the class deadline, not product strategy.</w:t>
      </w:r>
    </w:p>
    <w:p>
      <w:pPr>
        <w:pStyle w:val="ListParagraph"/>
        <w:numPr>
          <w:ilvl w:val="0"/>
          <w:numId w:val="2"/>
        </w:numPr>
        <w:spacing w:after="120"/>
      </w:pPr>
      <w:r>
        <w:rPr>
          <w:b/>
          <w:bCs/>
        </w:rPr>
        <w:t xml:space="preserve">Lab-value inputs (blood test results) → out of scope for the questionnaire. </w:t>
      </w:r>
      <w:r>
        <w:t xml:space="preserve">This is also Section 2.4's blocker for the Red safety tier — the two deferrals are the same underlying decision, not two unrelated ones.</w:t>
      </w:r>
    </w:p>
    <w:p>
      <w:pPr>
        <w:pStyle w:val="ListParagraph"/>
        <w:numPr>
          <w:ilvl w:val="0"/>
          <w:numId w:val="2"/>
        </w:numPr>
        <w:spacing w:after="120"/>
      </w:pPr>
      <w:r>
        <w:rPr>
          <w:b/>
          <w:bCs/>
        </w:rPr>
        <w:t xml:space="preserve">Third-party testing / quality verification → schema field exists, not enforced. </w:t>
      </w:r>
      <w:r>
        <w:t xml:space="preserve">Underfilling and adulteration are documented problems in the Indian supplement category, so “effective dose met” today really means “label-claimed dose met.” Verifying actual content would need either an in-house testing budget or a trusted third-party certification feed — neither exists yet, but the schema field is already there so this can be turned on without a data migration once one does.</w:t>
      </w:r>
    </w:p>
    <w:p>
      <w:pPr>
        <w:pStyle w:val="Heading1"/>
        <w:spacing w:after="160" w:before="360"/>
      </w:pPr>
      <w:r>
        <w:t xml:space="preserve">References</w:t>
      </w:r>
    </w:p>
    <w:p>
      <w:pPr>
        <w:pStyle w:val="ListParagraph"/>
        <w:numPr>
          <w:ilvl w:val="0"/>
          <w:numId w:val="2"/>
        </w:numPr>
        <w:spacing w:after="120"/>
      </w:pPr>
      <w:hyperlink w:history="1" r:id="rIdj7t-cixexegyuu91pdsu6">
        <w:r>
          <w:rPr>
            <w:rStyle w:val="Hyperlink"/>
          </w:rPr>
          <w:t xml:space="preserve">Food Safety and Standards (Health Supplements, Nutraceuticals, ...) Regulations, 2016 — overview</w:t>
        </w:r>
      </w:hyperlink>
    </w:p>
    <w:p>
      <w:pPr>
        <w:pStyle w:val="ListParagraph"/>
        <w:numPr>
          <w:ilvl w:val="0"/>
          <w:numId w:val="2"/>
        </w:numPr>
        <w:spacing w:after="120"/>
      </w:pPr>
      <w:hyperlink w:history="1" r:id="rIdn6hiezxb0rolvhcpwmpqk">
        <w:r>
          <w:rPr>
            <w:rStyle w:val="Hyperlink"/>
          </w:rPr>
          <w:t xml:space="preserve">FSSAI RDA dosage limits for nutraceuticals</w:t>
        </w:r>
      </w:hyperlink>
    </w:p>
    <w:p>
      <w:pPr>
        <w:pStyle w:val="ListParagraph"/>
        <w:numPr>
          <w:ilvl w:val="0"/>
          <w:numId w:val="2"/>
        </w:numPr>
        <w:spacing w:after="120"/>
      </w:pPr>
      <w:hyperlink w:history="1" r:id="rId-zvpovmvebgk9nzoclj62">
        <w:r>
          <w:rPr>
            <w:rStyle w:val="Hyperlink"/>
          </w:rPr>
          <w:t xml:space="preserve">FSSAI Advertising and Claims Regulations, 2018 — claim substantiation and approval</w:t>
        </w:r>
      </w:hyperlink>
    </w:p>
    <w:p>
      <w:pPr>
        <w:pStyle w:val="ListParagraph"/>
        <w:numPr>
          <w:ilvl w:val="0"/>
          <w:numId w:val="2"/>
        </w:numPr>
        <w:spacing w:after="120"/>
      </w:pPr>
      <w:hyperlink w:history="1" r:id="rId9harrfjxrafmirzysdq0u">
        <w:r>
          <w:rPr>
            <w:rStyle w:val="Hyperlink"/>
          </w:rPr>
          <w:t xml:space="preserve">FSSAI Advertisement Claim Approval process and penalties</w:t>
        </w:r>
      </w:hyperlink>
    </w:p>
    <w:p>
      <w:pPr>
        <w:pStyle w:val="ListParagraph"/>
        <w:numPr>
          <w:ilvl w:val="0"/>
          <w:numId w:val="2"/>
        </w:numPr>
        <w:spacing w:after="120"/>
      </w:pPr>
      <w:hyperlink w:history="1" r:id="rIdirpimd0dyr-tm0yht4a95">
        <w:r>
          <w:rPr>
            <w:rStyle w:val="Hyperlink"/>
          </w:rPr>
          <w:t xml:space="preserve">Central FSSAI License requirement for e-commerce and nutraceutical FBOs</w:t>
        </w:r>
      </w:hyperlink>
    </w:p>
    <w:p>
      <w:pPr>
        <w:pStyle w:val="ListParagraph"/>
        <w:numPr>
          <w:ilvl w:val="0"/>
          <w:numId w:val="2"/>
        </w:numPr>
        <w:spacing w:after="120"/>
      </w:pPr>
      <w:hyperlink w:history="1" r:id="rIdku7-pnk7ovkvfhrdxeain">
        <w:r>
          <w:rPr>
            <w:rStyle w:val="Hyperlink"/>
          </w:rPr>
          <w:t xml:space="preserve">Drugs and Magic Remedies (Objectionable Advertisements) Act, 1954 — overview</w:t>
        </w:r>
      </w:hyperlink>
    </w:p>
    <w:p>
      <w:pPr>
        <w:pStyle w:val="ListParagraph"/>
        <w:numPr>
          <w:ilvl w:val="0"/>
          <w:numId w:val="2"/>
        </w:numPr>
        <w:spacing w:after="120"/>
      </w:pPr>
      <w:hyperlink w:history="1" r:id="rIdstuyhot3s7pudd_tvgsjg">
        <w:r>
          <w:rPr>
            <w:rStyle w:val="Hyperlink"/>
          </w:rPr>
          <w:t xml:space="preserve">Digital Personal Data Protection Act, 2023 — consent framework</w:t>
        </w:r>
      </w:hyperlink>
    </w:p>
    <w:p>
      <w:pPr>
        <w:pStyle w:val="ListParagraph"/>
        <w:numPr>
          <w:ilvl w:val="0"/>
          <w:numId w:val="2"/>
        </w:numPr>
        <w:spacing w:after="120"/>
      </w:pPr>
      <w:hyperlink w:history="1" r:id="rId8upnztcrvbp-af07itfq3">
        <w:r>
          <w:rPr>
            <w:rStyle w:val="Hyperlink"/>
          </w:rPr>
          <w:t xml:space="preserve">DPDPA and healthcare/sensitive data compliance</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7t-cixexegyuu91pdsu6" Type="http://schemas.openxmlformats.org/officeDocument/2006/relationships/hyperlink" Target="https://corpbiz.io/learning/fssai-regulations-for-nutraceuticals/" TargetMode="External"/><Relationship Id="rIdn6hiezxb0rolvhcpwmpqk" Type="http://schemas.openxmlformats.org/officeDocument/2006/relationships/hyperlink" Target="https://morulaa.com/nutraceuticals-supplements-fssai-registration-india-rda-limits/" TargetMode="External"/><Relationship Id="rId-zvpovmvebgk9nzoclj62" Type="http://schemas.openxmlformats.org/officeDocument/2006/relationships/hyperlink" Target="https://cliniexperts.com/regulatory-update/food-safety-and-standards-advertising-and-claims-regulations-2018/" TargetMode="External"/><Relationship Id="rId9harrfjxrafmirzysdq0u" Type="http://schemas.openxmlformats.org/officeDocument/2006/relationships/hyperlink" Target="https://cliniexperts.com/india-regulatory-services/food/fssai-advertisement-claim-approval-for-food-supplements-nutraceuticals/" TargetMode="External"/><Relationship Id="rIdirpimd0dyr-tm0yht4a95" Type="http://schemas.openxmlformats.org/officeDocument/2006/relationships/hyperlink" Target="https://www.psrcompliance.com/blog/central-fssai-license-for-ecommerce-food-business" TargetMode="External"/><Relationship Id="rIdku7-pnk7ovkvfhrdxeain" Type="http://schemas.openxmlformats.org/officeDocument/2006/relationships/hyperlink" Target="https://en.wikipedia.org/wiki/Drugs_and_Magic_Remedies_(Objectionable_Advertisements)_Act,_1954" TargetMode="External"/><Relationship Id="rIdstuyhot3s7pudd_tvgsjg" Type="http://schemas.openxmlformats.org/officeDocument/2006/relationships/hyperlink" Target="https://ksandk.com/data-protection-and-data-privacy/consent-under-dpdp-act-2023-compliance-strategies/" TargetMode="External"/><Relationship Id="rId8upnztcrvbp-af07itfq3" Type="http://schemas.openxmlformats.org/officeDocument/2006/relationships/hyperlink" Target="https://www.dpdpa.com/blogs/dpdpa_compliance_healthcare_hospitals_guide.html"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2026-09-05T22:38:21.461Z</dcterms:created>
  <dcterms:modified xsi:type="dcterms:W3CDTF">2026-09-05T22:38:21.462Z</dcterms:modified>
</cp:coreProperties>
</file>

<file path=docProps/custom.xml><?xml version="1.0" encoding="utf-8"?>
<Properties xmlns="http://schemas.openxmlformats.org/officeDocument/2006/custom-properties" xmlns:vt="http://schemas.openxmlformats.org/officeDocument/2006/docPropsVTypes"/>
</file>