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6120E"/>
          <w:sz w:val="52"/>
          <w:szCs w:val="52"/>
        </w:rPr>
        <w:t xml:space="preserve">Brand Direction</w:t>
      </w:r>
    </w:p>
    <w:p>
      <w:pPr>
        <w:pBdr>
          <w:bottom w:val="single" w:color="E8543A" w:sz="6" w:space="4"/>
        </w:pBdr>
        <w:spacing w:after="60"/>
      </w:pPr>
      <w:r>
        <w:rPr>
          <w:i/>
          <w:iCs/>
          <w:color w:val="E8543A"/>
          <w:sz w:val="24"/>
          <w:szCs w:val="24"/>
        </w:rPr>
        <w:t xml:space="preserve">A brand-led design &amp; build studio</w:t>
      </w:r>
    </w:p>
    <w:p>
      <w:pPr>
        <w:spacing w:after="140"/>
      </w:pPr>
      <w:r>
        <w:rPr>
          <w:color w:val="595048"/>
          <w:sz w:val="20"/>
          <w:szCs w:val="20"/>
        </w:rPr>
        <w:t xml:space="preserve">Prepared for Jess  •  July 2026  •  Round 1 concept</w:t>
      </w:r>
    </w:p>
    <w:p>
      <w:pPr>
        <w:spacing w:after="140"/>
      </w:pPr>
      <w:r>
        <w:t xml:space="preserve">This is a first, opinionated direction — a name to react to, a positioning to pin down, and a visual system the website prototype is already built on. Everything here is a starting point meant to be pushed on, not a final answer.</w:t>
      </w:r>
    </w:p>
    <w:p>
      <w:pPr>
        <w:pStyle w:val="Heading1"/>
      </w:pPr>
      <w:r>
        <w:t xml:space="preserve">1. The market gap — where you can win</w:t>
      </w:r>
    </w:p>
    <w:p>
      <w:pPr>
        <w:spacing w:after="140"/>
      </w:pPr>
      <w:r>
        <w:t xml:space="preserve">From the competitor audit, the market splits into three crowded camps, each with a blind spot:</w:t>
      </w:r>
    </w:p>
    <w:p>
      <w:pPr>
        <w:pStyle w:val="ListParagraph"/>
        <w:numPr>
          <w:ilvl w:val="0"/>
          <w:numId w:val="2"/>
        </w:numPr>
        <w:spacing w:after="50"/>
      </w:pPr>
      <w:r>
        <w:rPr>
          <w:b/>
          <w:bCs/>
        </w:rPr>
        <w:t xml:space="preserve">Product / dev shops</w:t>
      </w:r>
      <w:r>
        <w:t xml:space="preserve"> (Halo Lab, Clay, Ramotion, Cuberto) — build beautiful apps and sites, but treat brand as decoration. They start with UI, not story. Enterprise-priced and interchangeable in tone.</w:t>
      </w:r>
    </w:p>
    <w:p>
      <w:pPr>
        <w:pStyle w:val="ListParagraph"/>
        <w:numPr>
          <w:ilvl w:val="0"/>
          <w:numId w:val="2"/>
        </w:numPr>
        <w:spacing w:after="50"/>
      </w:pPr>
      <w:r>
        <w:rPr>
          <w:b/>
          <w:bCs/>
        </w:rPr>
        <w:t xml:space="preserve">Brand studios</w:t>
      </w:r>
      <w:r>
        <w:t xml:space="preserve"> (Focus Lab, Koto) — world-class identity work, then they hand you off. You still have to go find someone to build the website and app.</w:t>
      </w:r>
    </w:p>
    <w:p>
      <w:pPr>
        <w:pStyle w:val="ListParagraph"/>
        <w:numPr>
          <w:ilvl w:val="0"/>
          <w:numId w:val="2"/>
        </w:numPr>
        <w:spacing w:after="50"/>
      </w:pPr>
      <w:r>
        <w:rPr>
          <w:b/>
          <w:bCs/>
        </w:rPr>
        <w:t xml:space="preserve">Craft web studios</w:t>
      </w:r>
      <w:r>
        <w:t xml:space="preserve"> (Obys, Noomo) — stunning, award-winning sites, but cold, artsy, and intimidating for a founder or growing business.</w:t>
      </w:r>
    </w:p>
    <w:p>
      <w:pPr>
        <w:spacing w:after="140"/>
      </w:pPr>
      <w:r>
        <w:rPr>
          <w:b/>
          <w:bCs/>
          <w:color w:val="E8543A"/>
        </w:rPr>
        <w:t xml:space="preserve">The gap: </w:t>
      </w:r>
      <w:r>
        <w:t xml:space="preserve">almost nobody does brand AND build as one connected offer, led by a senior operator, at a price ambitious founders and growing companies can actually reach — with warmth instead of the usual cold-tech or cold-art tone.</w:t>
      </w:r>
    </w:p>
    <w:p>
      <w:pPr>
        <w:spacing w:after="140"/>
      </w:pPr>
      <w:r>
        <w:rPr>
          <w:b/>
          <w:bCs/>
        </w:rPr>
        <w:t xml:space="preserve">Your unfair advantage</w:t>
      </w:r>
      <w:r>
        <w:t xml:space="preserve"> is exactly this seam: two decades of brand strategy depth (most dev shops have none) plus the ability to design and ship the website and app (most brand studios can't). You don't hand the client off between three vendors — you are the throughline from strategy to launch.</w:t>
      </w:r>
    </w:p>
    <w:p>
      <w:pPr>
        <w:pStyle w:val="Heading3"/>
      </w:pPr>
      <w:r>
        <w:t xml:space="preserve">The positioning in one line</w:t>
      </w:r>
    </w:p>
    <w:p>
      <w:pPr>
        <w:spacing w:after="140"/>
      </w:pPr>
      <w:r>
        <w:rPr>
          <w:i/>
          <w:iCs/>
          <w:sz w:val="24"/>
          <w:szCs w:val="24"/>
        </w:rPr>
        <w:t xml:space="preserve">A brand-led design &amp; build studio. We shape your brand, then design and build the website and app to bring it to life — one senior team, from strategy to launch.</w:t>
      </w:r>
    </w:p>
    <w:p>
      <w:pPr>
        <w:pStyle w:val="Heading3"/>
      </w:pPr>
      <w:r>
        <w:t xml:space="preserve">How you stand out (say these, own these)</w:t>
      </w:r>
    </w:p>
    <w:p>
      <w:pPr>
        <w:pStyle w:val="ListParagraph"/>
        <w:numPr>
          <w:ilvl w:val="0"/>
          <w:numId w:val="2"/>
        </w:numPr>
        <w:spacing w:after="50"/>
      </w:pPr>
      <w:r>
        <w:t xml:space="preserve">Brand-led, not UI-led — strategy and story come first, so the build actually means something.</w:t>
      </w:r>
    </w:p>
    <w:p>
      <w:pPr>
        <w:pStyle w:val="ListParagraph"/>
        <w:numPr>
          <w:ilvl w:val="0"/>
          <w:numId w:val="2"/>
        </w:numPr>
        <w:spacing w:after="50"/>
      </w:pPr>
      <w:r>
        <w:t xml:space="preserve">Whole arc, one partner — brand + website + app, no handoffs between vendors.</w:t>
      </w:r>
    </w:p>
    <w:p>
      <w:pPr>
        <w:pStyle w:val="ListParagraph"/>
        <w:numPr>
          <w:ilvl w:val="0"/>
          <w:numId w:val="2"/>
        </w:numPr>
        <w:spacing w:after="50"/>
      </w:pPr>
      <w:r>
        <w:t xml:space="preserve">Senior hands only — the people who pitch are the people who design and build. No juniors.</w:t>
      </w:r>
    </w:p>
    <w:p>
      <w:pPr>
        <w:pStyle w:val="ListParagraph"/>
        <w:numPr>
          <w:ilvl w:val="0"/>
          <w:numId w:val="2"/>
        </w:numPr>
        <w:spacing w:after="50"/>
      </w:pPr>
      <w:r>
        <w:t xml:space="preserve">Warm and clear — human, transparent, and confident, not corporate or cryptic.</w:t>
      </w:r>
    </w:p>
    <w:p>
      <w:pPr>
        <w:pStyle w:val="ListParagraph"/>
        <w:numPr>
          <w:ilvl w:val="0"/>
          <w:numId w:val="2"/>
        </w:numPr>
        <w:spacing w:after="50"/>
      </w:pPr>
      <w:r>
        <w:t xml:space="preserve">Transparent pricing — clear starting points while competitors hide behind “contact us.”</w:t>
      </w:r>
    </w:p>
    <w:p>
      <w:r>
        <w:br w:type="page"/>
      </w:r>
    </w:p>
    <w:p>
      <w:pPr>
        <w:pStyle w:val="Heading1"/>
      </w:pPr>
      <w:r>
        <w:t xml:space="preserve">2. Name</w:t>
      </w:r>
    </w:p>
    <w:p>
      <w:pPr>
        <w:spacing w:after="140"/>
      </w:pPr>
      <w:r>
        <w:t xml:space="preserve">You wanted a studio name (not personal-name based) with room to grow. The strongest names for a brand-led build studio do double duty: they hint at both story/brand and making/building. Here's the shortlist, with a recommendation.</w:t>
      </w:r>
    </w:p>
    <w:p>
      <w:pPr>
        <w:pStyle w:val="Heading2"/>
      </w:pPr>
      <w:r>
        <w:t xml:space="preserve">Chosen name: Storey</w:t>
      </w:r>
    </w:p>
    <w:p>
      <w:pPr>
        <w:spacing w:after="140"/>
      </w:pPr>
      <w:r>
        <w:rPr>
          <w:b/>
          <w:bCs/>
        </w:rPr>
        <w:t xml:space="preserve">Storey</w:t>
      </w:r>
      <w:r>
        <w:t xml:space="preserve">  (Storey Studio). </w:t>
      </w:r>
      <w:r>
        <w:rPr>
          <w:b/>
          <w:bCs/>
          <w:color w:val="E8543A"/>
        </w:rPr>
        <w:t xml:space="preserve">Locked.</w:t>
      </w:r>
    </w:p>
    <w:p>
      <w:pPr>
        <w:spacing w:after="80"/>
      </w:pPr>
      <w:r>
        <w:rPr>
          <w:b/>
          <w:bCs/>
          <w:color w:val="16120E"/>
        </w:rPr>
        <w:t xml:space="preserve">Domain:  </w:t>
      </w:r>
      <w:r>
        <w:t xml:space="preserve">madebystorey.com (available / secured). storey.com, storey.studio and storey.co are all taken, so the brand lives on madebystorey.com. Recommended backup to grab: wearestorey.com for email + typo redirect. Always spell it “Storey” with the e — never “story” — to protect the wordmark.</w:t>
      </w:r>
    </w:p>
    <w:p>
      <w:pPr>
        <w:spacing w:after="80"/>
      </w:pPr>
      <w:r>
        <w:rPr>
          <w:b/>
          <w:bCs/>
          <w:color w:val="16120E"/>
        </w:rPr>
        <w:t xml:space="preserve">Why it works:  </w:t>
      </w:r>
      <w:r>
        <w:t xml:space="preserve">A “storey” is a level of a building — and it's a breath away from “story.” That's the entire business in one word: you tell brand stories and you build. The double meaning is the strategy made memorable.</w:t>
      </w:r>
    </w:p>
    <w:p>
      <w:pPr>
        <w:spacing w:after="80"/>
      </w:pPr>
      <w:r>
        <w:rPr>
          <w:b/>
          <w:bCs/>
          <w:color w:val="16120E"/>
        </w:rPr>
        <w:t xml:space="preserve">Tone:  </w:t>
      </w:r>
      <w:r>
        <w:t xml:space="preserve">Warm, editorial, confident, a little clever without trying too hard. Reads premium but human — exactly the market gap.</w:t>
      </w:r>
    </w:p>
    <w:p>
      <w:pPr>
        <w:spacing w:after="80"/>
      </w:pPr>
      <w:r>
        <w:rPr>
          <w:b/>
          <w:bCs/>
          <w:color w:val="16120E"/>
        </w:rPr>
        <w:t xml:space="preserve">Runs well as:  </w:t>
      </w:r>
      <w:r>
        <w:t xml:space="preserve">“Storey.” wordmark with a period (a built full stop), “Built by Storey,” “Storey shaped and shipped it.”</w:t>
      </w:r>
    </w:p>
    <w:p>
      <w:pPr>
        <w:spacing w:after="80"/>
      </w:pPr>
      <w:r>
        <w:rPr>
          <w:b/>
          <w:bCs/>
          <w:color w:val="16120E"/>
        </w:rPr>
        <w:t xml:space="preserve">To do:  </w:t>
      </w:r>
      <w:r>
        <w:t xml:space="preserve">Register madebystorey.com, grab wearestorey.com if free, and file a trademark for “Storey” in the design/branding services class.</w:t>
      </w:r>
    </w:p>
    <w:p>
      <w:pPr>
        <w:pStyle w:val="Heading3"/>
      </w:pPr>
      <w:r>
        <w:t xml:space="preserve">Alternatives considered (kept on file)</w:t>
      </w:r>
    </w:p>
    <w:p>
      <w:pPr>
        <w:pStyle w:val="ListParagraph"/>
        <w:numPr>
          <w:ilvl w:val="0"/>
          <w:numId w:val="2"/>
        </w:numPr>
        <w:spacing w:after="50"/>
      </w:pPr>
      <w:r>
        <w:rPr>
          <w:b/>
          <w:bCs/>
        </w:rPr>
        <w:t xml:space="preserve">Throughline</w:t>
      </w:r>
      <w:r>
        <w:t xml:space="preserve"> — the single thread connecting strategy to shipped product. Clear, confident, meaning-rich; zero spelling risk. Slightly more corporate than Storey.</w:t>
      </w:r>
    </w:p>
    <w:p>
      <w:pPr>
        <w:pStyle w:val="ListParagraph"/>
        <w:numPr>
          <w:ilvl w:val="0"/>
          <w:numId w:val="2"/>
        </w:numPr>
        <w:spacing w:after="50"/>
      </w:pPr>
      <w:r>
        <w:rPr>
          <w:b/>
          <w:bCs/>
        </w:rPr>
        <w:t xml:space="preserve">Marque</w:t>
      </w:r>
      <w:r>
        <w:t xml:space="preserve"> — French for “brand/mark.” Elegant, ownable, literally means brand. Feels high-end; less obviously about “build.”</w:t>
      </w:r>
    </w:p>
    <w:p>
      <w:pPr>
        <w:pStyle w:val="ListParagraph"/>
        <w:numPr>
          <w:ilvl w:val="0"/>
          <w:numId w:val="2"/>
        </w:numPr>
        <w:spacing w:after="50"/>
      </w:pPr>
      <w:r>
        <w:rPr>
          <w:b/>
          <w:bCs/>
        </w:rPr>
        <w:t xml:space="preserve">Groundwork</w:t>
      </w:r>
      <w:r>
        <w:t xml:space="preserve"> — you lay the strategic foundation, then build on it. Warm, solid, honest. A touch more literal.</w:t>
      </w:r>
    </w:p>
    <w:p>
      <w:pPr>
        <w:pStyle w:val="ListParagraph"/>
        <w:numPr>
          <w:ilvl w:val="0"/>
          <w:numId w:val="2"/>
        </w:numPr>
        <w:spacing w:after="50"/>
      </w:pPr>
      <w:r>
        <w:rPr>
          <w:b/>
          <w:bCs/>
        </w:rPr>
        <w:t xml:space="preserve">Overstory</w:t>
      </w:r>
      <w:r>
        <w:t xml:space="preserve"> — the forest canopy that shapes everything beneath it (like brand shapes product). Evocative and premium; check for name clashes.</w:t>
      </w:r>
    </w:p>
    <w:p>
      <w:pPr>
        <w:pStyle w:val="ListParagraph"/>
        <w:numPr>
          <w:ilvl w:val="0"/>
          <w:numId w:val="2"/>
        </w:numPr>
        <w:spacing w:after="50"/>
      </w:pPr>
      <w:r>
        <w:rPr>
          <w:b/>
          <w:bCs/>
        </w:rPr>
        <w:t xml:space="preserve">Wellmade</w:t>
      </w:r>
      <w:r>
        <w:t xml:space="preserve"> — craft, quality, approachable. Signals “built properly.” Friendly; leans more maker than strategist.</w:t>
      </w:r>
    </w:p>
    <w:p>
      <w:pPr>
        <w:spacing w:after="140"/>
      </w:pPr>
      <w:r>
        <w:rPr>
          <w:i/>
          <w:iCs/>
        </w:rPr>
        <w:t xml:space="preserve">Note: </w:t>
      </w:r>
      <w:r>
        <w:rPr>
          <w:i/>
          <w:iCs/>
        </w:rPr>
        <w:t xml:space="preserve">the name is locked as Storey on madebystorey.com; these alternatives are recorded only as a fallback if trademark/registration ever hits a snag.</w:t>
      </w:r>
    </w:p>
    <w:p>
      <w:pPr>
        <w:pStyle w:val="Heading1"/>
      </w:pPr>
      <w:r>
        <w:t xml:space="preserve">3. Voice &amp; messaging</w:t>
      </w:r>
    </w:p>
    <w:p>
      <w:pPr>
        <w:spacing w:after="140"/>
      </w:pPr>
      <w:r>
        <w:t xml:space="preserve">The voice is the differentiator made audible: warm, plain-spoken, and quietly confident. Smart without being cold; human without being fluffy.</w:t>
      </w:r>
    </w:p>
    <w:p>
      <w:pPr>
        <w:pStyle w:val="Heading3"/>
      </w:pPr>
      <w:r>
        <w:t xml:space="preserve">Principles</w:t>
      </w:r>
    </w:p>
    <w:p>
      <w:pPr>
        <w:pStyle w:val="ListParagraph"/>
        <w:numPr>
          <w:ilvl w:val="0"/>
          <w:numId w:val="2"/>
        </w:numPr>
        <w:spacing w:after="50"/>
      </w:pPr>
      <w:r>
        <w:rPr>
          <w:b/>
          <w:bCs/>
        </w:rPr>
        <w:t xml:space="preserve">Say the outcome, not the adjective.</w:t>
      </w:r>
      <w:r>
        <w:t xml:space="preserve"> “Brand it. Build it.” beats “strategic creative solutions.”</w:t>
      </w:r>
    </w:p>
    <w:p>
      <w:pPr>
        <w:pStyle w:val="ListParagraph"/>
        <w:numPr>
          <w:ilvl w:val="0"/>
          <w:numId w:val="2"/>
        </w:numPr>
        <w:spacing w:after="50"/>
      </w:pPr>
      <w:r>
        <w:rPr>
          <w:b/>
          <w:bCs/>
        </w:rPr>
        <w:t xml:space="preserve">Short, declarative sentences.</w:t>
      </w:r>
      <w:r>
        <w:t xml:space="preserve"> Confidence reads as brevity.</w:t>
      </w:r>
    </w:p>
    <w:p>
      <w:pPr>
        <w:pStyle w:val="ListParagraph"/>
        <w:numPr>
          <w:ilvl w:val="0"/>
          <w:numId w:val="2"/>
        </w:numPr>
        <w:spacing w:after="50"/>
      </w:pPr>
      <w:r>
        <w:rPr>
          <w:b/>
          <w:bCs/>
        </w:rPr>
        <w:t xml:space="preserve">Warm, not corporate.</w:t>
      </w:r>
      <w:r>
        <w:t xml:space="preserve"> Talk like a senior partner across the table, not a deck.</w:t>
      </w:r>
    </w:p>
    <w:p>
      <w:pPr>
        <w:pStyle w:val="ListParagraph"/>
        <w:numPr>
          <w:ilvl w:val="0"/>
          <w:numId w:val="2"/>
        </w:numPr>
        <w:spacing w:after="50"/>
      </w:pPr>
      <w:r>
        <w:rPr>
          <w:b/>
          <w:bCs/>
        </w:rPr>
        <w:t xml:space="preserve">Proof over promises.</w:t>
      </w:r>
      <w:r>
        <w:t xml:space="preserve"> Lead case studies with the result.</w:t>
      </w:r>
    </w:p>
    <w:p>
      <w:pPr>
        <w:pStyle w:val="Heading3"/>
      </w:pPr>
      <w:r>
        <w:t xml:space="preserve">Taglines to test</w:t>
      </w:r>
    </w:p>
    <w:p>
      <w:pPr>
        <w:pStyle w:val="ListParagraph"/>
        <w:numPr>
          <w:ilvl w:val="0"/>
          <w:numId w:val="2"/>
        </w:numPr>
        <w:spacing w:after="50"/>
      </w:pPr>
      <w:r>
        <w:t xml:space="preserve">Brand it. Build it.  (recommended — used in the prototype hero)</w:t>
      </w:r>
    </w:p>
    <w:p>
      <w:pPr>
        <w:pStyle w:val="ListParagraph"/>
        <w:numPr>
          <w:ilvl w:val="0"/>
          <w:numId w:val="2"/>
        </w:numPr>
        <w:spacing w:after="50"/>
      </w:pPr>
      <w:r>
        <w:t xml:space="preserve">From story to shipped.</w:t>
      </w:r>
    </w:p>
    <w:p>
      <w:pPr>
        <w:pStyle w:val="ListParagraph"/>
        <w:numPr>
          <w:ilvl w:val="0"/>
          <w:numId w:val="2"/>
        </w:numPr>
        <w:spacing w:after="50"/>
      </w:pPr>
      <w:r>
        <w:t xml:space="preserve">We shape brands, then build them.</w:t>
      </w:r>
    </w:p>
    <w:p>
      <w:pPr>
        <w:pStyle w:val="ListParagraph"/>
        <w:numPr>
          <w:ilvl w:val="0"/>
          <w:numId w:val="2"/>
        </w:numPr>
        <w:spacing w:after="50"/>
      </w:pPr>
      <w:r>
        <w:t xml:space="preserve">Strategy-led. Studio-built.</w:t>
      </w:r>
    </w:p>
    <w:p>
      <w:r>
        <w:br w:type="page"/>
      </w:r>
    </w:p>
    <w:p>
      <w:pPr>
        <w:pStyle w:val="Heading1"/>
      </w:pPr>
      <w:r>
        <w:t xml:space="preserve">4. Visual system</w:t>
      </w:r>
    </w:p>
    <w:p>
      <w:pPr>
        <w:spacing w:after="140"/>
      </w:pPr>
      <w:r>
        <w:t xml:space="preserve">The look fills the tonal gap: warm editorial craft. Not the dark-mode neon of dev agencies, not the cold minimalism of art studios, not the pastel of personal brands. A confident cream canvas, near-black ink, one warm signal color, and editorial typography. It evolves your current cream/black/pink palette into something more grown-up and ownable.</w:t>
      </w:r>
    </w:p>
    <w:p>
      <w:pPr>
        <w:pStyle w:val="Heading3"/>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6120E" w:val="clear"/>
            <w:tcMar>
              <w:top w:type="dxa" w:w="80"/>
              <w:left w:type="dxa" w:w="120"/>
              <w:bottom w:type="dxa" w:w="80"/>
              <w:right w:type="dxa" w:w="120"/>
            </w:tcMar>
          </w:tcPr>
          <w:p>
            <w:r>
              <w:rPr>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6120E" w:val="clear"/>
            <w:tcMar>
              <w:top w:type="dxa" w:w="80"/>
              <w:left w:type="dxa" w:w="120"/>
              <w:bottom w:type="dxa" w:w="80"/>
              <w:right w:type="dxa" w:w="120"/>
            </w:tcMar>
          </w:tcPr>
          <w:p>
            <w:r>
              <w:rPr>
                <w:b/>
                <w:bCs/>
                <w:color w:val="FFFFFF"/>
                <w:sz w:val="20"/>
                <w:szCs w:val="20"/>
              </w:rPr>
              <w:t xml:space="preserve">Hex</w:t>
            </w:r>
          </w:p>
        </w:tc>
        <w:tc>
          <w:tcPr>
            <w:tcW w:type="dxa" w:w="4760"/>
            <w:tcBorders>
              <w:top w:val="single" w:color="CCCCCC" w:sz="1"/>
              <w:left w:val="single" w:color="CCCCCC" w:sz="1"/>
              <w:bottom w:val="single" w:color="CCCCCC" w:sz="1"/>
              <w:right w:val="single" w:color="CCCCCC" w:sz="1"/>
            </w:tcBorders>
            <w:shd w:fill="16120E" w:val="clear"/>
            <w:tcMar>
              <w:top w:type="dxa" w:w="80"/>
              <w:left w:type="dxa" w:w="120"/>
              <w:bottom w:type="dxa" w:w="80"/>
              <w:right w:type="dxa" w:w="120"/>
            </w:tcMar>
          </w:tcPr>
          <w:p>
            <w:r>
              <w:rPr>
                <w:b/>
                <w:bCs/>
                <w:color w:val="FFFFFF"/>
                <w:sz w:val="20"/>
                <w:szCs w:val="20"/>
              </w:rPr>
              <w:t xml:space="preserve">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Cream (canvas)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#F6F1E8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background — warm, editorial, calm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Ink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#16120E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Warm near-black for all text and the dark services band</w:t>
            </w:r>
          </w:p>
        </w:tc>
      </w:tr>
      <w:tr>
        <w:tc>
          <w:tcPr>
            <w:tcW w:type="dxa" w:w="2600"/>
            <w:tcBorders>
              <w:top w:val="single" w:color="CCCCCC" w:sz="1"/>
              <w:left w:val="single" w:color="CCCCCC" w:sz="1"/>
              <w:bottom w:val="single" w:color="CCCCCC" w:sz="1"/>
              <w:right w:val="single" w:color="CCCCCC" w:sz="1"/>
            </w:tcBorders>
            <w:shd w:fill="FBD9CF" w:val="clear"/>
            <w:tcMar>
              <w:top w:type="dxa" w:w="80"/>
              <w:left w:type="dxa" w:w="120"/>
              <w:bottom w:type="dxa" w:w="80"/>
              <w:right w:type="dxa" w:w="120"/>
            </w:tcMar>
          </w:tcPr>
          <w:p>
            <w:r>
              <w:rPr>
                <w:b/>
                <w:bCs/>
                <w:color w:val="000000"/>
                <w:sz w:val="20"/>
                <w:szCs w:val="20"/>
              </w:rPr>
              <w:t xml:space="preserve">Coral (accent)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#E8543A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signal color — CTAs, highlights, italic emphasis. Used sparingly for punch</w:t>
            </w:r>
          </w:p>
        </w:tc>
      </w:tr>
      <w:tr>
        <w:tc>
          <w:tcPr>
            <w:tcW w:type="dxa" w:w="2600"/>
            <w:tcBorders>
              <w:top w:val="single" w:color="CCCCCC" w:sz="1"/>
              <w:left w:val="single" w:color="CCCCCC" w:sz="1"/>
              <w:bottom w:val="single" w:color="CCCCCC" w:sz="1"/>
              <w:right w:val="single" w:color="CCCCCC" w:sz="1"/>
            </w:tcBorders>
            <w:shd w:fill="DDE2D8" w:val="clear"/>
            <w:tcMar>
              <w:top w:type="dxa" w:w="80"/>
              <w:left w:type="dxa" w:w="120"/>
              <w:bottom w:type="dxa" w:w="80"/>
              <w:right w:type="dxa" w:w="120"/>
            </w:tcMar>
          </w:tcPr>
          <w:p>
            <w:r>
              <w:rPr>
                <w:b/>
                <w:bCs/>
                <w:color w:val="000000"/>
                <w:sz w:val="20"/>
                <w:szCs w:val="20"/>
              </w:rPr>
              <w:t xml:space="preserve">Sage (secondary)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#5E6B57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 supporting tone for tags, illustration, variety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Line / cream-2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#DED4C4 / #EFE8DB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Borders, cards, quiet dividers</w:t>
            </w:r>
          </w:p>
        </w:tc>
      </w:tr>
    </w:tbl>
    <w:p>
      <w:pPr>
        <w:spacing w:after="140"/>
      </w:pPr>
      <w:r>
        <w:rPr>
          <w:b/>
          <w:bCs/>
        </w:rPr>
        <w:t xml:space="preserve">Why coral over the old pink: </w:t>
      </w:r>
      <w:r>
        <w:t xml:space="preserve">warmer, more energetic and distinctive, and it reads as “maker/craft” rather than “beauty/lifestyle” — better fit for a design-and-build studio.</w:t>
      </w:r>
    </w:p>
    <w:p>
      <w:pPr>
        <w:pStyle w:val="Heading3"/>
      </w:pPr>
      <w:r>
        <w:t xml:space="preserve">Typography</w:t>
      </w:r>
    </w:p>
    <w:p>
      <w:pPr>
        <w:spacing w:after="80"/>
      </w:pPr>
      <w:r>
        <w:rPr>
          <w:b/>
          <w:bCs/>
          <w:color w:val="16120E"/>
        </w:rPr>
        <w:t xml:space="preserve">Display — Fraunces:  </w:t>
      </w:r>
      <w:r>
        <w:t xml:space="preserve">A modern editorial serif with warmth and character (soft ink-traps, optical sizing). Used big for headlines and the wordmark. This is what makes the brand feel crafted and premium rather than generic-tech.</w:t>
      </w:r>
    </w:p>
    <w:p>
      <w:pPr>
        <w:spacing w:after="80"/>
      </w:pPr>
      <w:r>
        <w:rPr>
          <w:b/>
          <w:bCs/>
          <w:color w:val="16120E"/>
        </w:rPr>
        <w:t xml:space="preserve">Body / UI — Inter:  </w:t>
      </w:r>
      <w:r>
        <w:t xml:space="preserve">A clean, highly legible grotesque sans for everything functional. Neutral counterpoint that lets Fraunces carry the personality.</w:t>
      </w:r>
    </w:p>
    <w:p>
      <w:pPr>
        <w:spacing w:after="140"/>
      </w:pPr>
      <w:r>
        <w:rPr>
          <w:i/>
          <w:iCs/>
        </w:rPr>
        <w:t xml:space="preserve">Both are free Google Fonts, so they're easy to use on the site and in decks. The pairing (characterful serif + neutral sans) is the backbone of the “warm editorial” look.</w:t>
      </w:r>
    </w:p>
    <w:p>
      <w:pPr>
        <w:pStyle w:val="Heading3"/>
      </w:pPr>
      <w:r>
        <w:t xml:space="preserve">Logo concept</w:t>
      </w:r>
    </w:p>
    <w:p>
      <w:pPr>
        <w:pStyle w:val="ListParagraph"/>
        <w:numPr>
          <w:ilvl w:val="0"/>
          <w:numId w:val="2"/>
        </w:numPr>
        <w:spacing w:after="50"/>
      </w:pPr>
      <w:r>
        <w:t xml:space="preserve">Wordmark set in Fraunces, medium weight, tight letter-spacing.</w:t>
      </w:r>
    </w:p>
    <w:p>
      <w:pPr>
        <w:pStyle w:val="ListParagraph"/>
        <w:numPr>
          <w:ilvl w:val="0"/>
          <w:numId w:val="2"/>
        </w:numPr>
        <w:spacing w:after="50"/>
      </w:pPr>
      <w:r>
        <w:rPr>
          <w:b/>
          <w:bCs/>
        </w:rPr>
        <w:t xml:space="preserve">A coral period after the name — </w:t>
      </w:r>
      <w:r>
        <w:t xml:space="preserve">“Storey.” — a “built full stop.” Simple, ownable, works at any size and as a standalone mark/favicon (just the dot).</w:t>
      </w:r>
    </w:p>
    <w:p>
      <w:pPr>
        <w:pStyle w:val="ListParagraph"/>
        <w:numPr>
          <w:ilvl w:val="0"/>
          <w:numId w:val="2"/>
        </w:numPr>
        <w:spacing w:after="50"/>
      </w:pPr>
      <w:r>
        <w:t xml:space="preserve">No literal house/building icon — keep it typographic and confident; the concept lives in the word, not a clipart symbol.</w:t>
      </w:r>
    </w:p>
    <w:p>
      <w:pPr>
        <w:pStyle w:val="Heading3"/>
      </w:pPr>
      <w:r>
        <w:t xml:space="preserve">Art direction</w:t>
      </w:r>
    </w:p>
    <w:p>
      <w:pPr>
        <w:pStyle w:val="ListParagraph"/>
        <w:numPr>
          <w:ilvl w:val="0"/>
          <w:numId w:val="2"/>
        </w:numPr>
        <w:spacing w:after="50"/>
      </w:pPr>
      <w:r>
        <w:t xml:space="preserve">Generous whitespace; large type; strong grid.</w:t>
      </w:r>
    </w:p>
    <w:p>
      <w:pPr>
        <w:pStyle w:val="ListParagraph"/>
        <w:numPr>
          <w:ilvl w:val="0"/>
          <w:numId w:val="2"/>
        </w:numPr>
        <w:spacing w:after="50"/>
      </w:pPr>
      <w:r>
        <w:t xml:space="preserve">Outcome-first case study cards with dual tags (industry + discipline).</w:t>
      </w:r>
    </w:p>
    <w:p>
      <w:pPr>
        <w:pStyle w:val="ListParagraph"/>
        <w:numPr>
          <w:ilvl w:val="0"/>
          <w:numId w:val="2"/>
        </w:numPr>
        <w:spacing w:after="50"/>
      </w:pPr>
      <w:r>
        <w:t xml:space="preserve">Subtle motion only — scroll reveals, a discipline marquee — never motion for its own sake.</w:t>
      </w:r>
    </w:p>
    <w:p>
      <w:pPr>
        <w:pStyle w:val="ListParagraph"/>
        <w:numPr>
          <w:ilvl w:val="0"/>
          <w:numId w:val="2"/>
        </w:numPr>
        <w:spacing w:after="50"/>
      </w:pPr>
      <w:r>
        <w:t xml:space="preserve">Warm gradient blocks or real project screenshots as imagery; avoid stocky corporate photos.</w:t>
      </w:r>
    </w:p>
    <w:p>
      <w:r>
        <w:br w:type="page"/>
      </w:r>
    </w:p>
    <w:p>
      <w:pPr>
        <w:pStyle w:val="Heading1"/>
      </w:pPr>
      <w:r>
        <w:t xml:space="preserve">5. Logo system &amp; usage</w:t>
      </w:r>
    </w:p>
    <w:p>
      <w:pPr>
        <w:spacing w:after="140"/>
      </w:pPr>
      <w:r>
        <w:t xml:space="preserve">The identity is wordmark-led. The clever detail lives inside the word: the “o” in Storey is a small window with a coral floor-line — a storey. Because it sits in the word, it reads clearly (no guessing what an abstract icon means) while still carrying the concept.</w:t>
      </w:r>
    </w:p>
    <w:p>
      <w:pPr>
        <w:pStyle w:val="Heading3"/>
      </w:pPr>
      <w:r>
        <w:t xml:space="preserve">The lockups</w:t>
      </w:r>
    </w:p>
    <w:p>
      <w:pPr>
        <w:pStyle w:val="ListParagraph"/>
        <w:numPr>
          <w:ilvl w:val="0"/>
          <w:numId w:val="2"/>
        </w:numPr>
        <w:spacing w:after="50"/>
      </w:pPr>
      <w:r>
        <w:rPr>
          <w:b/>
          <w:bCs/>
        </w:rPr>
        <w:t xml:space="preserve">Primary wordmark</w:t>
      </w:r>
      <w:r>
        <w:t xml:space="preserve"> — “Storey.” with the window-o and a coral square period (the “built full stop”). Default logo everywhere it fits.</w:t>
      </w:r>
    </w:p>
    <w:p>
      <w:pPr>
        <w:pStyle w:val="ListParagraph"/>
        <w:numPr>
          <w:ilvl w:val="0"/>
          <w:numId w:val="2"/>
        </w:numPr>
        <w:spacing w:after="50"/>
      </w:pPr>
      <w:r>
        <w:rPr>
          <w:b/>
          <w:bCs/>
        </w:rPr>
        <w:t xml:space="preserve">Stacked</w:t>
      </w:r>
      <w:r>
        <w:t xml:space="preserve"> — the window mark centered above STOREY in tracked caps, for square-ish spaces (footers, merch, social profile).</w:t>
      </w:r>
    </w:p>
    <w:p>
      <w:pPr>
        <w:pStyle w:val="ListParagraph"/>
        <w:numPr>
          <w:ilvl w:val="0"/>
          <w:numId w:val="2"/>
        </w:numPr>
        <w:spacing w:after="50"/>
      </w:pPr>
      <w:r>
        <w:rPr>
          <w:b/>
          <w:bCs/>
        </w:rPr>
        <w:t xml:space="preserve">Standalone mark</w:t>
      </w:r>
      <w:r>
        <w:t xml:space="preserve"> — the window on its own; the brand shorthand for tight spaces.</w:t>
      </w:r>
    </w:p>
    <w:p>
      <w:pPr>
        <w:pStyle w:val="ListParagraph"/>
        <w:numPr>
          <w:ilvl w:val="0"/>
          <w:numId w:val="2"/>
        </w:numPr>
        <w:spacing w:after="50"/>
      </w:pPr>
      <w:r>
        <w:rPr>
          <w:b/>
          <w:bCs/>
        </w:rPr>
        <w:t xml:space="preserve">App icon</w:t>
      </w:r>
      <w:r>
        <w:t xml:space="preserve"> — the window reversed inside an ink tile, for favicon, avatar, and app.</w:t>
      </w:r>
    </w:p>
    <w:p>
      <w:pPr>
        <w:pStyle w:val="ListParagraph"/>
        <w:numPr>
          <w:ilvl w:val="0"/>
          <w:numId w:val="2"/>
        </w:numPr>
        <w:spacing w:after="50"/>
      </w:pPr>
      <w:r>
        <w:rPr>
          <w:b/>
          <w:bCs/>
        </w:rPr>
        <w:t xml:space="preserve">Tagline lockup</w:t>
      </w:r>
      <w:r>
        <w:t xml:space="preserve"> — wordmark above “Brand-led design &amp; build” for first-impression contexts.</w:t>
      </w:r>
    </w:p>
    <w:p>
      <w:pPr>
        <w:pStyle w:val="Heading3"/>
      </w:pPr>
      <w:r>
        <w:t xml:space="preserve">The marks</w:t>
      </w:r>
    </w:p>
    <w:p>
      <w:pPr>
        <w:spacing w:after="60"/>
      </w:pPr>
      <w:r>
        <w:drawing>
          <wp:inline distT="0" distB="0" distL="0" distR="0">
            <wp:extent cx="914400" cy="914400"/>
            <wp:effectExtent t="0" r="0" b="0" l="0"/>
            <wp:docPr id="1" name="mark" descr="Standalone window mark" title="Storey window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r>
        <w:t xml:space="preserve">      </w:t>
      </w:r>
      <w:r>
        <w:drawing>
          <wp:inline distT="0" distB="0" distL="0" distR="0">
            <wp:extent cx="914400" cy="914400"/>
            <wp:effectExtent t="0" r="0" b="0" l="0"/>
            <wp:docPr id="1" name="appicon" descr="App icon tile" title="Storey 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40"/>
      </w:pPr>
      <w:r>
        <w:rPr>
          <w:i/>
          <w:iCs/>
          <w:color w:val="595048"/>
        </w:rPr>
        <w:t xml:space="preserve">Left: standalone mark (ink on light). Right: app icon (reversed on ink). </w:t>
      </w:r>
      <w:r>
        <w:rPr>
          <w:i/>
          <w:iCs/>
          <w:color w:val="595048"/>
        </w:rPr>
        <w:t xml:space="preserve">Both are supplied as vector SVG plus PNG at 512 / 180 / 64 / 32 px.</w:t>
      </w:r>
    </w:p>
    <w:p>
      <w:pPr>
        <w:pStyle w:val="Heading3"/>
      </w:pPr>
      <w:r>
        <w:t xml:space="preserve">Usage rules</w:t>
      </w:r>
    </w:p>
    <w:p>
      <w:pPr>
        <w:spacing w:after="80"/>
      </w:pPr>
      <w:r>
        <w:rPr>
          <w:b/>
          <w:bCs/>
          <w:color w:val="16120E"/>
        </w:rPr>
        <w:t xml:space="preserve">Clear space:  </w:t>
      </w:r>
      <w:r>
        <w:t xml:space="preserve">Keep empty space around the logo at least equal to the height of the window mark on all sides.</w:t>
      </w:r>
    </w:p>
    <w:p>
      <w:pPr>
        <w:spacing w:after="80"/>
      </w:pPr>
      <w:r>
        <w:rPr>
          <w:b/>
          <w:bCs/>
          <w:color w:val="16120E"/>
        </w:rPr>
        <w:t xml:space="preserve">Minimum size:  </w:t>
      </w:r>
      <w:r>
        <w:t xml:space="preserve">Wordmark no smaller than ~120 px / 32 mm wide. For favicons and anything under ~24 px, use the app-icon tile, not the wordmark.</w:t>
      </w:r>
    </w:p>
    <w:p>
      <w:pPr>
        <w:spacing w:after="80"/>
      </w:pPr>
      <w:r>
        <w:rPr>
          <w:b/>
          <w:bCs/>
          <w:color w:val="16120E"/>
        </w:rPr>
        <w:t xml:space="preserve">Color pairings:  </w:t>
      </w:r>
      <w:r>
        <w:t xml:space="preserve">Ink on cream (primary). Cream + coral on ink (reverse / app icon). On photography, place the logo on a solid cream or ink panel — never straight onto a busy image.</w:t>
      </w:r>
    </w:p>
    <w:p>
      <w:pPr>
        <w:spacing w:after="80"/>
      </w:pPr>
      <w:r>
        <w:rPr>
          <w:b/>
          <w:bCs/>
          <w:color w:val="16120E"/>
        </w:rPr>
        <w:t xml:space="preserve">Spelling:  </w:t>
      </w:r>
      <w:r>
        <w:t xml:space="preserve">Always “Storey” with the e. Never “Story.” The domain is madebystorey.com.</w:t>
      </w:r>
    </w:p>
    <w:p>
      <w:pPr>
        <w:pStyle w:val="Heading3"/>
      </w:pPr>
      <w:r>
        <w:t xml:space="preserve">Do / Don’t</w:t>
      </w:r>
    </w:p>
    <w:p>
      <w:pPr>
        <w:pStyle w:val="ListParagraph"/>
        <w:numPr>
          <w:ilvl w:val="0"/>
          <w:numId w:val="2"/>
        </w:numPr>
        <w:spacing w:after="50"/>
      </w:pPr>
      <w:r>
        <w:rPr>
          <w:b/>
          <w:bCs/>
          <w:color w:val="5E6B57"/>
        </w:rPr>
        <w:t xml:space="preserve">Do </w:t>
      </w:r>
      <w:r>
        <w:t xml:space="preserve">use the supplied files, keep the coral floor-line in the window, and maintain clear space.</w:t>
      </w:r>
    </w:p>
    <w:p>
      <w:pPr>
        <w:pStyle w:val="ListParagraph"/>
        <w:numPr>
          <w:ilvl w:val="0"/>
          <w:numId w:val="2"/>
        </w:numPr>
        <w:spacing w:after="50"/>
      </w:pPr>
      <w:r>
        <w:rPr>
          <w:b/>
          <w:bCs/>
          <w:color w:val="E8543A"/>
        </w:rPr>
        <w:t xml:space="preserve">Don’t </w:t>
      </w:r>
      <w:r>
        <w:t xml:space="preserve">recolor the wordmark, stretch or rotate it, add drop shadows or gradients, swap the fonts, or replace the square period with a round dot.</w:t>
      </w:r>
    </w:p>
    <w:p>
      <w:pPr>
        <w:pStyle w:val="Heading3"/>
      </w:pPr>
      <w:r>
        <w:t xml:space="preserve">Delivered files</w:t>
      </w:r>
    </w:p>
    <w:p>
      <w:pPr>
        <w:pStyle w:val="ListParagraph"/>
        <w:numPr>
          <w:ilvl w:val="0"/>
          <w:numId w:val="2"/>
        </w:numPr>
        <w:spacing w:after="50"/>
      </w:pPr>
      <w:r>
        <w:t xml:space="preserve">storey-mark.svg — standalone window mark (vector)</w:t>
      </w:r>
    </w:p>
    <w:p>
      <w:pPr>
        <w:pStyle w:val="ListParagraph"/>
        <w:numPr>
          <w:ilvl w:val="0"/>
          <w:numId w:val="2"/>
        </w:numPr>
        <w:spacing w:after="50"/>
      </w:pPr>
      <w:r>
        <w:t xml:space="preserve">storey-appicon.svg — app-icon tile (vector)</w:t>
      </w:r>
    </w:p>
    <w:p>
      <w:pPr>
        <w:pStyle w:val="ListParagraph"/>
        <w:numPr>
          <w:ilvl w:val="0"/>
          <w:numId w:val="2"/>
        </w:numPr>
        <w:spacing w:after="50"/>
      </w:pPr>
      <w:r>
        <w:t xml:space="preserve">storey-appicon-512/180/64/32.png and storey-mark-512/64.png — raster exports</w:t>
      </w:r>
    </w:p>
    <w:p>
      <w:pPr>
        <w:spacing w:after="140"/>
      </w:pPr>
      <w:r>
        <w:rPr>
          <w:b/>
          <w:bCs/>
        </w:rPr>
        <w:t xml:space="preserve">Production note: </w:t>
      </w:r>
      <w:r>
        <w:t xml:space="preserve">the full wordmark uses the Fraunces typeface, so a print-ready wordmark file should have the type converted to outlines in a design tool. The mark and app icon above have no font dependency and are ready to use as-is.</w:t>
      </w:r>
    </w:p>
    <w:p>
      <w:r>
        <w:br w:type="page"/>
      </w:r>
    </w:p>
    <w:p>
      <w:pPr>
        <w:pStyle w:val="Heading1"/>
      </w:pPr>
      <w:r>
        <w:t xml:space="preserve">6. How this shows up on the site</w:t>
      </w:r>
    </w:p>
    <w:p>
      <w:pPr>
        <w:spacing w:after="140"/>
      </w:pPr>
      <w:r>
        <w:t xml:space="preserve">The homepage prototype is already built on this system, incorporating the competitor best practices from the swipe file:</w:t>
      </w:r>
    </w:p>
    <w:p>
      <w:pPr>
        <w:pStyle w:val="ListParagraph"/>
        <w:numPr>
          <w:ilvl w:val="0"/>
          <w:numId w:val="2"/>
        </w:numPr>
        <w:spacing w:after="50"/>
      </w:pPr>
      <w:r>
        <w:t xml:space="preserve">Hero: “Brand it. Build it.” — outcome-first, names the design+build offer immediately (Halo Lab / Cuberto pattern).</w:t>
      </w:r>
    </w:p>
    <w:p>
      <w:pPr>
        <w:pStyle w:val="ListParagraph"/>
        <w:numPr>
          <w:ilvl w:val="0"/>
          <w:numId w:val="2"/>
        </w:numPr>
        <w:spacing w:after="50"/>
      </w:pPr>
      <w:r>
        <w:t xml:space="preserve">Three service pillars — Website, App, Brand — each with sub-services (Clay pattern).</w:t>
      </w:r>
    </w:p>
    <w:p>
      <w:pPr>
        <w:pStyle w:val="ListParagraph"/>
        <w:numPr>
          <w:ilvl w:val="0"/>
          <w:numId w:val="2"/>
        </w:numPr>
        <w:spacing w:after="50"/>
      </w:pPr>
      <w:r>
        <w:t xml:space="preserve">Outcome-headline case studies with industry + discipline tags (Halo Lab / Obys pattern).</w:t>
      </w:r>
    </w:p>
    <w:p>
      <w:pPr>
        <w:pStyle w:val="ListParagraph"/>
        <w:numPr>
          <w:ilvl w:val="0"/>
          <w:numId w:val="2"/>
        </w:numPr>
        <w:spacing w:after="50"/>
      </w:pPr>
      <w:r>
        <w:t xml:space="preserve">Transparent starting-price cards + “get an estimate” CTA (Huemor / Focus Lab pattern).</w:t>
      </w:r>
    </w:p>
    <w:p>
      <w:pPr>
        <w:pStyle w:val="ListParagraph"/>
        <w:numPr>
          <w:ilvl w:val="0"/>
          <w:numId w:val="2"/>
        </w:numPr>
        <w:spacing w:after="50"/>
      </w:pPr>
      <w:r>
        <w:t xml:space="preserve">A Discovery → Design → Build → Launch process (fixes the old brand-only methodology).</w:t>
      </w:r>
    </w:p>
    <w:p>
      <w:pPr>
        <w:pStyle w:val="ListParagraph"/>
        <w:numPr>
          <w:ilvl w:val="0"/>
          <w:numId w:val="2"/>
        </w:numPr>
        <w:spacing w:after="50"/>
      </w:pPr>
      <w:r>
        <w:t xml:space="preserve">A “No handoffs / senior hands” section — the core differentiator, front and center.</w:t>
      </w:r>
    </w:p>
    <w:p>
      <w:pPr>
        <w:spacing w:after="140"/>
      </w:pPr>
      <w:r>
        <w:rPr>
          <w:i/>
          <w:iCs/>
          <w:color w:val="595048"/>
        </w:rPr>
        <w:t xml:space="preserve">Open the prototype alongside this doc to see the direction in motion.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4" w:space="4"/>
      </w:pBdr>
      <w:spacing w:after="160" w:before="300"/>
      <w:outlineLvl w:val="0"/>
    </w:pPr>
    <w:rPr>
      <w:rFonts w:ascii="Arial" w:cs="Arial" w:eastAsia="Arial" w:hAnsi="Arial"/>
      <w:b/>
      <w:bCs/>
      <w:color w:val="16120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8543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612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2787f27edfc790b4e8092885fa55c5a7f6f3e0.png"/><Relationship Id="rId8" Type="http://schemas.openxmlformats.org/officeDocument/2006/relationships/image" Target="media/4486ec78b7a5cc948a81aadbff7f5d12ce25356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2026-07-07T05:54:58.837Z</dcterms:created>
  <dcterms:modified xsi:type="dcterms:W3CDTF">2026-07-07T05:54:58.838Z</dcterms:modified>
</cp:coreProperties>
</file>

<file path=docProps/custom.xml><?xml version="1.0" encoding="utf-8"?>
<Properties xmlns="http://schemas.openxmlformats.org/officeDocument/2006/custom-properties" xmlns:vt="http://schemas.openxmlformats.org/officeDocument/2006/docPropsVTypes"/>
</file>