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267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Perinatal risk factors linked to placental dysfunction (e.g., placenta praevia and pre-eclampsia) invite investigation of histopathological patterns of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placental maternal vascular malperfusion (MVM) and acute inflammation (AI), separately and jointly, with IH.</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included 45,268 singleton pregnancies enrolled from 1959 to 1965 at 12 US centres of the Collaborative Perinatal Project, with standardised placental histopathology. Exposures were MVM and AI, each as present or absent and as a score, and their joint occurrence (neither, MVM only, AI only, or both). Study paediatricians ascertained IH at 12 months. Relative risks (RR) were estimated with modified Poisson regression adjusted for 11 covariates and study site, with inverse probability of censoring weights and multiple imputation.</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2026-10-17T20:36:57.280Z</dcterms:created>
  <dcterms:modified xsi:type="dcterms:W3CDTF">2026-10-17T20:36:57.284Z</dcterms:modified>
</cp:coreProperties>
</file>

<file path=docProps/custom.xml><?xml version="1.0" encoding="utf-8"?>
<Properties xmlns="http://schemas.openxmlformats.org/officeDocument/2006/custom-properties" xmlns:vt="http://schemas.openxmlformats.org/officeDocument/2006/docPropsVTypes"/>
</file>