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adjustment for pathologist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S3, S8, S10, S11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a construct validity check comparing expected associations with preterm birth, SGA, pre-eclampsia, and spontaneous labour in Boston and other centres, and the Boston stratified results. Boston recorded more AI and far more foetal-only inflammation.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Tables S8 and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Framing revised to modest, imprecise associations.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Only 78 mothers were discordant for both IH and MVM (73 for AI), and estimates were too imprecise to be informative.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3.5, Table S13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2026-09-29T20:49:17.740Z</dcterms:created>
  <dcterms:modified xsi:type="dcterms:W3CDTF">2026-09-29T20:49:17.740Z</dcterms:modified>
</cp:coreProperties>
</file>

<file path=docProps/custom.xml><?xml version="1.0" encoding="utf-8"?>
<Properties xmlns="http://schemas.openxmlformats.org/officeDocument/2006/custom-properties" xmlns:vt="http://schemas.openxmlformats.org/officeDocument/2006/docPropsVTypes"/>
</file>