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adjustment for pathologist,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S3, S8, S10, S11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a construct validity check comparing expected associations with preterm birth, SGA, pre-eclampsia, and spontaneous labour in Boston and other centres, and the Boston stratified results. Boston recorded more AI and far more foetal-only inflammation.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and 3.5, Discussion 4.2, Tables S8 and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and AI are reported as not associated with IH, with the joint finding and the confidence intervals showing that small effects cannot be excluded.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Only 78 mothers were discordant for both IH and MVM (73 for AI), and estimates were too imprecise to be informative.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3.5, Table S13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2026-10-03T01:22:30.130Z</dcterms:created>
  <dcterms:modified xsi:type="dcterms:W3CDTF">2026-10-03T01:22:30.130Z</dcterms:modified>
</cp:coreProperties>
</file>

<file path=docProps/custom.xml><?xml version="1.0" encoding="utf-8"?>
<Properties xmlns="http://schemas.openxmlformats.org/officeDocument/2006/custom-properties" xmlns:vt="http://schemas.openxmlformats.org/officeDocument/2006/docPropsVTypes"/>
</file>