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3,495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92.6% of placentas were examined by one pathologist [22], versus the other 11 centres, and (6) the broader outcome that included suspect IH.</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AI more often involved White women (52.3% vs 47.0%) and heavy smoking (20.5% vs 16.6%). Among the 40,700 infants (89.9%) with an observed outcome,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(Supplementary Table S2). Boston contributed 41.4% (290/700) of IH cases.</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primary models, neither any MVM (RR 1.14, 95% CI 0.96, 1.35) nor any AI (RR 1.14, 95% CI 0.96, 1.35) was associated with IH, nor were the MVM score (per point, RR 1.05, 95% CI 0.97, 1.15) or AI score (per compartment, RR 1.03, 95% CI 0.98, 1.08). Without adjustment for study site, estimates were larger (MVM RR 1.25, 95% CI 1.07, 1.46, and AI RR 1.20, 95% CI 1.02, 1.42). Adjustment for the 11 covariates changed estimates little, and almost all of the difference between crude and primary estimates arose when study site was added (Supplementary Table S3). Mutual adjustment for MVM and AI did not change either estimate (Supplementary Table S4).</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pattern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Grade, stage, and location of placental lesions</w:t>
      </w:r>
    </w:p>
    <w:p>
      <w:pPr>
        <w:spacing w:after="0" w:before="0" w:line="480"/>
        <w:ind w:firstLine="480"/>
      </w:pPr>
      <w:r>
        <w:rPr>
          <w:rFonts w:ascii="Times New Roman" w:cs="Times New Roman" w:eastAsia="Times New Roman" w:hAnsi="Times New Roman"/>
          <w:sz w:val="24"/>
          <w:szCs w:val="24"/>
        </w:rPr>
        <w:t xml:space="preserve">No dose-response was observed. Compared with no MVM, the RR was 1.15 (95% CI 0.96, 1.37) for low-grade and 1.09 (95% CI 0.77, 1.55) for high-grade MVM. For AI, the RR was 1.26 (95% CI 1.02, 1.55) for low stage and 1.00 (95% CI 0.78, 1.28) for high stage (Supplementary Table S6). By location, RRs were 1.07 (95% CI 0.81, 1.43) for maternal-only, 1.12 (95% CI 0.86, 1.47) for foetal-only, and 1.20 (95% CI 0.94, 1.55) for combined maternal and foetal inflammation (Supplementary Table S7). Foetal-only inflammation, which involved the umbilical vein in 87.8% of cases, had the largest crude estimate (RR 1.67, 95% CI 1.29, 2.18), which fell to 1.12 after adjustment for study site. Among infants with an observed outcome, 61.1% (1,359/2,224) of placentas with foetal-only inflammation were from Boston, where this pattern was recorded in 14.1% of placentas compared with 0.9% to 8.1% at the other centres.</w:t>
      </w:r>
    </w:p>
    <w:p>
      <w:pPr>
        <w:keepNext/>
        <w:spacing w:after="0" w:before="240" w:line="480"/>
      </w:pPr>
      <w:r>
        <w:rPr>
          <w:rFonts w:ascii="Times New Roman" w:cs="Times New Roman" w:eastAsia="Times New Roman" w:hAnsi="Times New Roman"/>
          <w:b/>
          <w:bCs/>
          <w:i/>
          <w:iCs/>
          <w:sz w:val="24"/>
          <w:szCs w:val="24"/>
        </w:rPr>
        <w:t xml:space="preserve">3.5. Study site and sensitivity analyses</w:t>
      </w:r>
    </w:p>
    <w:p>
      <w:pPr>
        <w:spacing w:after="0" w:before="0" w:line="480"/>
        <w:ind w:firstLine="480"/>
      </w:pPr>
      <w:r>
        <w:rPr>
          <w:rFonts w:ascii="Times New Roman" w:cs="Times New Roman" w:eastAsia="Times New Roman" w:hAnsi="Times New Roman"/>
          <w:sz w:val="24"/>
          <w:szCs w:val="24"/>
        </w:rPr>
        <w:t xml:space="preserve">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w:t>
      </w:r>
    </w:p>
    <w:p>
      <w:pPr>
        <w:spacing w:after="0" w:before="0" w:line="480"/>
        <w:ind w:firstLine="480"/>
      </w:pPr>
      <w:r>
        <w:rPr>
          <w:rFonts w:ascii="Times New Roman" w:cs="Times New Roman" w:eastAsia="Times New Roman" w:hAnsi="Times New Roman"/>
          <w:sz w:val="24"/>
          <w:szCs w:val="24"/>
        </w:rPr>
        <w:t xml:space="preserve">Results were similar when study site was modelled as a random effect (MVM RR 1.16, AI RR 1.15) and when suspect IH was included in the outcome (MVM RR 1.13, AI RR 1.10) (Supplementary Tables S9 and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either no association or a small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2026-10-03T01:38:22.840Z</dcterms:created>
  <dcterms:modified xsi:type="dcterms:W3CDTF">2026-10-03T01:38:22.840Z</dcterms:modified>
</cp:coreProperties>
</file>

<file path=docProps/custom.xml><?xml version="1.0" encoding="utf-8"?>
<Properties xmlns="http://schemas.openxmlformats.org/officeDocument/2006/custom-properties" xmlns:vt="http://schemas.openxmlformats.org/officeDocument/2006/docPropsVTypes"/>
</file>