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Times New Roman" w:cs="Times New Roman" w:eastAsia="Times New Roman" w:hAnsi="Times New Roman"/>
          <w:b/>
          <w:bCs/>
          <w:sz w:val="28"/>
          <w:szCs w:val="28"/>
        </w:rPr>
        <w:t xml:space="preserve">Placental Pathology and Infantile Haemangioma in the Collaborative Perinatal Project</w:t>
      </w:r>
    </w:p>
    <w:p>
      <w:pPr>
        <w:spacing w:after="240" w:before="0" w:line="480"/>
        <w:jc w:val="center"/>
      </w:pPr>
      <w:r>
        <w:rPr>
          <w:rFonts w:ascii="Times New Roman" w:cs="Times New Roman" w:eastAsia="Times New Roman" w:hAnsi="Times New Roman"/>
          <w:sz w:val="24"/>
          <w:szCs w:val="24"/>
        </w:rPr>
        <w:t xml:space="preserve">Jessica J. Wong, MS</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Sunni L. Mumford,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Alexa A. Freedman, PhD</w:t>
      </w:r>
      <w:r>
        <w:rPr>
          <w:rFonts w:ascii="Times New Roman" w:cs="Times New Roman" w:eastAsia="Times New Roman" w:hAnsi="Times New Roman"/>
          <w:sz w:val="24"/>
          <w:szCs w:val="24"/>
          <w:vertAlign w:val="superscript"/>
        </w:rPr>
        <w:t xml:space="preserve">3</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Linda M. Ernst, MD, MHS</w:t>
      </w:r>
      <w:r>
        <w:rPr>
          <w:rFonts w:ascii="Times New Roman" w:cs="Times New Roman" w:eastAsia="Times New Roman" w:hAnsi="Times New Roman"/>
          <w:sz w:val="24"/>
          <w:szCs w:val="24"/>
          <w:vertAlign w:val="superscript"/>
        </w:rPr>
        <w:t xml:space="preserve">4,5</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Yajnaseni Chakraborti, PhD</w:t>
      </w:r>
      <w:r>
        <w:rPr>
          <w:rFonts w:ascii="Times New Roman" w:cs="Times New Roman" w:eastAsia="Times New Roman" w:hAnsi="Times New Roman"/>
          <w:sz w:val="24"/>
          <w:szCs w:val="24"/>
          <w:vertAlign w:val="superscript"/>
        </w:rPr>
        <w:t xml:space="preserve">1</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David J. Margolis, MD, PhD</w:t>
      </w:r>
      <w:r>
        <w:rPr>
          <w:rFonts w:ascii="Times New Roman" w:cs="Times New Roman" w:eastAsia="Times New Roman" w:hAnsi="Times New Roman"/>
          <w:sz w:val="24"/>
          <w:szCs w:val="24"/>
          <w:vertAlign w:val="superscript"/>
        </w:rPr>
        <w:t xml:space="preserve">1,6</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Ellen C. Caniglia, ScD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Enrique F. Schisterman,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w:t>
      </w:r>
      <w:r>
        <w:rPr>
          <w:rFonts w:ascii="Times New Roman" w:cs="Times New Roman" w:eastAsia="Times New Roman" w:hAnsi="Times New Roman"/>
          <w:sz w:val="24"/>
          <w:szCs w:val="24"/>
        </w:rPr>
        <w:t xml:space="preserve">Stefanie N. Hinkle, PhD</w:t>
      </w:r>
      <w:r>
        <w:rPr>
          <w:rFonts w:ascii="Times New Roman" w:cs="Times New Roman" w:eastAsia="Times New Roman" w:hAnsi="Times New Roman"/>
          <w:sz w:val="24"/>
          <w:szCs w:val="24"/>
          <w:vertAlign w:val="superscript"/>
        </w:rPr>
        <w:t xml:space="preserve">1,2*</w:t>
      </w:r>
      <w:r>
        <w:rPr>
          <w:rFonts w:ascii="Times New Roman" w:cs="Times New Roman" w:eastAsia="Times New Roman" w:hAnsi="Times New Roman"/>
          <w:sz w:val="24"/>
          <w:szCs w:val="24"/>
        </w:rPr>
        <w:t xml:space="preserve">, and </w:t>
      </w:r>
      <w:r>
        <w:rPr>
          <w:rFonts w:ascii="Times New Roman" w:cs="Times New Roman" w:eastAsia="Times New Roman" w:hAnsi="Times New Roman"/>
          <w:sz w:val="24"/>
          <w:szCs w:val="24"/>
        </w:rPr>
        <w:t xml:space="preserve">Ellen C. Francis, PhD</w:t>
      </w:r>
      <w:r>
        <w:rPr>
          <w:rFonts w:ascii="Times New Roman" w:cs="Times New Roman" w:eastAsia="Times New Roman" w:hAnsi="Times New Roman"/>
          <w:sz w:val="24"/>
          <w:szCs w:val="24"/>
          <w:vertAlign w:val="superscript"/>
        </w:rPr>
        <w:t xml:space="preserve">7*</w:t>
      </w:r>
    </w:p>
    <w:p>
      <w:pPr>
        <w:spacing w:after="0" w:before="0" w:line="276"/>
      </w:pPr>
      <w:r>
        <w:rPr>
          <w:rFonts w:ascii="Times New Roman" w:cs="Times New Roman" w:eastAsia="Times New Roman" w:hAnsi="Times New Roman"/>
          <w:sz w:val="20"/>
          <w:szCs w:val="20"/>
          <w:vertAlign w:val="superscript"/>
        </w:rPr>
        <w:t xml:space="preserve">1</w:t>
      </w:r>
      <w:r>
        <w:rPr>
          <w:rFonts w:ascii="Times New Roman" w:cs="Times New Roman" w:eastAsia="Times New Roman" w:hAnsi="Times New Roman"/>
          <w:sz w:val="20"/>
          <w:szCs w:val="20"/>
        </w:rPr>
        <w:t xml:space="preserve">Department of Biostatistics, Epidemiology, and Informatics,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2</w:t>
      </w:r>
      <w:r>
        <w:rPr>
          <w:rFonts w:ascii="Times New Roman" w:cs="Times New Roman" w:eastAsia="Times New Roman" w:hAnsi="Times New Roman"/>
          <w:sz w:val="20"/>
          <w:szCs w:val="20"/>
        </w:rPr>
        <w:t xml:space="preserve">Department of Obstetrics and Gynecology,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3</w:t>
      </w:r>
      <w:r>
        <w:rPr>
          <w:rFonts w:ascii="Times New Roman" w:cs="Times New Roman" w:eastAsia="Times New Roman" w:hAnsi="Times New Roman"/>
          <w:sz w:val="20"/>
          <w:szCs w:val="20"/>
        </w:rPr>
        <w:t xml:space="preserve">Department of Preventive Medicine, Northwestern University Feinberg School of Medicine, Chicago, IL, USA</w:t>
      </w:r>
    </w:p>
    <w:p>
      <w:pPr>
        <w:spacing w:after="0" w:before="0" w:line="276"/>
      </w:pPr>
      <w:r>
        <w:rPr>
          <w:rFonts w:ascii="Times New Roman" w:cs="Times New Roman" w:eastAsia="Times New Roman" w:hAnsi="Times New Roman"/>
          <w:sz w:val="20"/>
          <w:szCs w:val="20"/>
          <w:vertAlign w:val="superscript"/>
        </w:rPr>
        <w:t xml:space="preserve">4</w:t>
      </w:r>
      <w:r>
        <w:rPr>
          <w:rFonts w:ascii="Times New Roman" w:cs="Times New Roman" w:eastAsia="Times New Roman" w:hAnsi="Times New Roman"/>
          <w:sz w:val="20"/>
          <w:szCs w:val="20"/>
        </w:rPr>
        <w:t xml:space="preserve">Endeavor Health, Evanston, IL, USA</w:t>
      </w:r>
    </w:p>
    <w:p>
      <w:pPr>
        <w:spacing w:after="0" w:before="0" w:line="276"/>
      </w:pPr>
      <w:r>
        <w:rPr>
          <w:rFonts w:ascii="Times New Roman" w:cs="Times New Roman" w:eastAsia="Times New Roman" w:hAnsi="Times New Roman"/>
          <w:sz w:val="20"/>
          <w:szCs w:val="20"/>
          <w:vertAlign w:val="superscript"/>
        </w:rPr>
        <w:t xml:space="preserve">5</w:t>
      </w:r>
      <w:r>
        <w:rPr>
          <w:rFonts w:ascii="Times New Roman" w:cs="Times New Roman" w:eastAsia="Times New Roman" w:hAnsi="Times New Roman"/>
          <w:sz w:val="20"/>
          <w:szCs w:val="20"/>
        </w:rPr>
        <w:t xml:space="preserve">Department of Pathology and Laboratory Medicine, Endeavor Health and Department of Pathology, University of Chicago Pritzker School of Medicine, Chicago, IL, USA</w:t>
      </w:r>
    </w:p>
    <w:p>
      <w:pPr>
        <w:spacing w:after="0" w:before="0" w:line="276"/>
      </w:pPr>
      <w:r>
        <w:rPr>
          <w:rFonts w:ascii="Times New Roman" w:cs="Times New Roman" w:eastAsia="Times New Roman" w:hAnsi="Times New Roman"/>
          <w:sz w:val="20"/>
          <w:szCs w:val="20"/>
          <w:vertAlign w:val="superscript"/>
        </w:rPr>
        <w:t xml:space="preserve">6</w:t>
      </w:r>
      <w:r>
        <w:rPr>
          <w:rFonts w:ascii="Times New Roman" w:cs="Times New Roman" w:eastAsia="Times New Roman" w:hAnsi="Times New Roman"/>
          <w:sz w:val="20"/>
          <w:szCs w:val="20"/>
        </w:rPr>
        <w:t xml:space="preserve">Department of Dermatology, Perelman School of Medicine, University of Pennsylvania, Philadelphia, PA, USA</w:t>
      </w:r>
    </w:p>
    <w:p>
      <w:pPr>
        <w:spacing w:after="0" w:before="0" w:line="276"/>
      </w:pPr>
      <w:r>
        <w:rPr>
          <w:rFonts w:ascii="Times New Roman" w:cs="Times New Roman" w:eastAsia="Times New Roman" w:hAnsi="Times New Roman"/>
          <w:sz w:val="20"/>
          <w:szCs w:val="20"/>
          <w:vertAlign w:val="superscript"/>
        </w:rPr>
        <w:t xml:space="preserve">7</w:t>
      </w:r>
      <w:r>
        <w:rPr>
          <w:rFonts w:ascii="Times New Roman" w:cs="Times New Roman" w:eastAsia="Times New Roman" w:hAnsi="Times New Roman"/>
          <w:sz w:val="20"/>
          <w:szCs w:val="20"/>
        </w:rPr>
        <w:t xml:space="preserve">Department of Biostatistics and Epidemiology, Rutgers School of Public Health, Rutgers University, Piscataway, NJ, USA</w:t>
      </w:r>
    </w:p>
    <w:p>
      <w:pPr>
        <w:spacing w:after="0" w:before="0" w:line="276"/>
      </w:pPr>
      <w:r>
        <w:rPr>
          <w:rFonts w:ascii="Times New Roman" w:cs="Times New Roman" w:eastAsia="Times New Roman" w:hAnsi="Times New Roman"/>
          <w:sz w:val="20"/>
          <w:szCs w:val="20"/>
          <w:vertAlign w:val="superscript"/>
        </w:rPr>
        <w:t xml:space="preserve">*</w:t>
      </w:r>
      <w:r>
        <w:rPr>
          <w:rFonts w:ascii="Times New Roman" w:cs="Times New Roman" w:eastAsia="Times New Roman" w:hAnsi="Times New Roman"/>
          <w:sz w:val="20"/>
          <w:szCs w:val="20"/>
        </w:rPr>
        <w:t xml:space="preserve">Co-senior authors</w:t>
      </w:r>
    </w:p>
    <w:p>
      <w:pPr>
        <w:spacing w:after="0" w:before="240" w:line="480"/>
      </w:pPr>
      <w:r>
        <w:rPr>
          <w:rFonts w:ascii="Times New Roman" w:cs="Times New Roman" w:eastAsia="Times New Roman" w:hAnsi="Times New Roman"/>
          <w:b/>
          <w:bCs/>
          <w:sz w:val="24"/>
          <w:szCs w:val="24"/>
        </w:rPr>
        <w:t xml:space="preserve">Corresponding author: </w:t>
      </w:r>
      <w:r>
        <w:rPr>
          <w:rFonts w:ascii="Times New Roman" w:cs="Times New Roman" w:eastAsia="Times New Roman" w:hAnsi="Times New Roman"/>
          <w:sz w:val="24"/>
          <w:szCs w:val="24"/>
        </w:rPr>
        <w:t xml:space="preserve">Stefanie N. Hinkle, PhD, Department of Biostatistics, Epidemiology, and Informatics, Perelman School of Medicine, University of Pennsylvania, 3600 Civic Center Blvd, 5W-101B, Philadelphia, PA 19104, USA. Email: stefanie.hinkle@pennmedicine.upenn.edu</w:t>
      </w:r>
    </w:p>
    <w:p>
      <w:pPr>
        <w:spacing w:after="0" w:before="0" w:line="480"/>
      </w:pPr>
      <w:r>
        <w:rPr>
          <w:rFonts w:ascii="Times New Roman" w:cs="Times New Roman" w:eastAsia="Times New Roman" w:hAnsi="Times New Roman"/>
          <w:b/>
          <w:bCs/>
          <w:sz w:val="24"/>
          <w:szCs w:val="24"/>
        </w:rPr>
        <w:t xml:space="preserve">Running head: </w:t>
      </w:r>
      <w:r>
        <w:rPr>
          <w:rFonts w:ascii="Times New Roman" w:cs="Times New Roman" w:eastAsia="Times New Roman" w:hAnsi="Times New Roman"/>
          <w:sz w:val="24"/>
          <w:szCs w:val="24"/>
        </w:rPr>
        <w:t xml:space="preserve">Placental Pathology and Infantile Haemangioma</w:t>
      </w:r>
    </w:p>
    <w:p>
      <w:pPr>
        <w:spacing w:after="0" w:before="0" w:line="480"/>
      </w:pPr>
      <w:r>
        <w:rPr>
          <w:rFonts w:ascii="Times New Roman" w:cs="Times New Roman" w:eastAsia="Times New Roman" w:hAnsi="Times New Roman"/>
          <w:b/>
          <w:bCs/>
          <w:sz w:val="24"/>
          <w:szCs w:val="24"/>
        </w:rPr>
        <w:t xml:space="preserve">Manuscript type: </w:t>
      </w:r>
      <w:r>
        <w:rPr>
          <w:rFonts w:ascii="Times New Roman" w:cs="Times New Roman" w:eastAsia="Times New Roman" w:hAnsi="Times New Roman"/>
          <w:sz w:val="24"/>
          <w:szCs w:val="24"/>
        </w:rPr>
        <w:t xml:space="preserve">Original Article</w:t>
      </w:r>
    </w:p>
    <w:p>
      <w:pPr>
        <w:spacing w:after="0" w:before="0" w:line="480"/>
      </w:pPr>
      <w:r>
        <w:rPr>
          <w:rFonts w:ascii="Times New Roman" w:cs="Times New Roman" w:eastAsia="Times New Roman" w:hAnsi="Times New Roman"/>
          <w:b/>
          <w:bCs/>
          <w:sz w:val="24"/>
          <w:szCs w:val="24"/>
        </w:rPr>
        <w:t xml:space="preserve">Word count: </w:t>
      </w:r>
      <w:r>
        <w:rPr>
          <w:rFonts w:ascii="Times New Roman" w:cs="Times New Roman" w:eastAsia="Times New Roman" w:hAnsi="Times New Roman"/>
          <w:sz w:val="24"/>
          <w:szCs w:val="24"/>
        </w:rPr>
        <w:t xml:space="preserve">3,518 (main text), 247 (abstract)</w:t>
      </w:r>
    </w:p>
    <w:p>
      <w:pPr>
        <w:spacing w:after="0" w:before="0" w:line="480"/>
      </w:pPr>
      <w:r>
        <w:rPr>
          <w:rFonts w:ascii="Times New Roman" w:cs="Times New Roman" w:eastAsia="Times New Roman" w:hAnsi="Times New Roman"/>
          <w:b/>
          <w:bCs/>
          <w:sz w:val="24"/>
          <w:szCs w:val="24"/>
        </w:rPr>
        <w:t xml:space="preserve">Tables: </w:t>
      </w:r>
      <w:r>
        <w:rPr>
          <w:rFonts w:ascii="Times New Roman" w:cs="Times New Roman" w:eastAsia="Times New Roman" w:hAnsi="Times New Roman"/>
          <w:sz w:val="24"/>
          <w:szCs w:val="24"/>
        </w:rPr>
        <w:t xml:space="preserve">2. Figures: 1. Supplementary material: 1 file (Tables S1 to S10). References: 41</w:t>
      </w:r>
    </w:p>
    <w:p>
      <w:pPr>
        <w:spacing w:after="0" w:before="0" w:line="480"/>
      </w:pPr>
      <w:r>
        <w:rPr>
          <w:rFonts w:ascii="Times New Roman" w:cs="Times New Roman" w:eastAsia="Times New Roman" w:hAnsi="Times New Roman"/>
          <w:b/>
          <w:bCs/>
          <w:sz w:val="24"/>
          <w:szCs w:val="24"/>
        </w:rPr>
        <w:t xml:space="preserve">ORCID iDs: </w:t>
      </w:r>
      <w:r>
        <w:rPr>
          <w:rFonts w:ascii="Times New Roman" w:cs="Times New Roman" w:eastAsia="Times New Roman" w:hAnsi="Times New Roman"/>
          <w:sz w:val="24"/>
          <w:szCs w:val="24"/>
        </w:rPr>
        <w:t xml:space="preserve">Jessica J. Wong: 0009-0002-7642-1613. Sunni L. Mumford: 0000-0003-0133-3176. Alexa A. Freedman: 0000-0001-9745-7768. Linda M. Ernst: 0000-0003-0104-5107. Yajnaseni Chakraborti: 0000-0002-6747-8821. David J. Margolis: 0000-0002-8540-7786. Ellen C. Caniglia: 0000-0002-9891-057X. Enrique F. Schisterman: 0000-0001-5238-519X. Stefanie N. Hinkle: 0000-0003-4312-708X. Ellen C. Francis: 0000-0001-8618-045X</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Abstract</w:t>
      </w:r>
    </w:p>
    <w:p>
      <w:pPr>
        <w:spacing w:after="0" w:before="0" w:line="480"/>
      </w:pPr>
      <w:r>
        <w:rPr>
          <w:rFonts w:ascii="Times New Roman" w:cs="Times New Roman" w:eastAsia="Times New Roman" w:hAnsi="Times New Roman"/>
          <w:b/>
          <w:bCs/>
          <w:sz w:val="24"/>
          <w:szCs w:val="24"/>
        </w:rPr>
        <w:t xml:space="preserve">Introduction: </w:t>
      </w:r>
      <w:r>
        <w:rPr>
          <w:rFonts w:ascii="Times New Roman" w:cs="Times New Roman" w:eastAsia="Times New Roman" w:hAnsi="Times New Roman"/>
          <w:sz w:val="24"/>
          <w:szCs w:val="24"/>
        </w:rPr>
        <w:t xml:space="preserve">Infantile haemangioma (IH), the most common tumour of infancy, is a raised, bright-red dermatological lesion appearing within weeks of birth, most often on the head, neck, or trunk, and affects 1.5% to 4.4% of newborns. Perinatal risk factors implicate the maternal-placental-foetal unit, yet placental injury patterns remain unexamined.</w:t>
      </w:r>
    </w:p>
    <w:p>
      <w:pPr>
        <w:spacing w:after="0" w:before="0" w:line="480"/>
      </w:pPr>
      <w:r>
        <w:rPr>
          <w:rFonts w:ascii="Times New Roman" w:cs="Times New Roman" w:eastAsia="Times New Roman" w:hAnsi="Times New Roman"/>
          <w:b/>
          <w:bCs/>
          <w:sz w:val="24"/>
          <w:szCs w:val="24"/>
        </w:rPr>
        <w:t xml:space="preserve">Methods: </w:t>
      </w:r>
      <w:r>
        <w:rPr>
          <w:rFonts w:ascii="Times New Roman" w:cs="Times New Roman" w:eastAsia="Times New Roman" w:hAnsi="Times New Roman"/>
          <w:sz w:val="24"/>
          <w:szCs w:val="24"/>
        </w:rPr>
        <w:t xml:space="preserve">This analysis included 45,268 singleton pregnancies from the Collaborative Perinatal Project, a prospective cohort enrolled across 12 US centres (1959 to 1965) with systematic placental histopathology. Exposures were (1) maternal vascular malperfusion (MVM) and (2) acute inflammation (AI), each as present or absent and as a continuous score, and (3) a joint exposure (neither, MVM only, AI only, or both). Standardised paediatrician examinations ascertained IH by age one. Adjusted relative risks (aRR) and 95% confidence intervals (CI) were estimated by modified Poisson regression with 11 covariates, study site, and stabilised inverse probability of censoring weights.</w:t>
      </w:r>
    </w:p>
    <w:p>
      <w:pPr>
        <w:spacing w:after="0" w:before="0" w:line="480"/>
      </w:pPr>
      <w:r>
        <w:rPr>
          <w:rFonts w:ascii="Times New Roman" w:cs="Times New Roman" w:eastAsia="Times New Roman" w:hAnsi="Times New Roman"/>
          <w:b/>
          <w:bCs/>
          <w:sz w:val="24"/>
          <w:szCs w:val="24"/>
        </w:rPr>
        <w:t xml:space="preserve">Results: </w:t>
      </w:r>
      <w:r>
        <w:rPr>
          <w:rFonts w:ascii="Times New Roman" w:cs="Times New Roman" w:eastAsia="Times New Roman" w:hAnsi="Times New Roman"/>
          <w:sz w:val="24"/>
          <w:szCs w:val="24"/>
        </w:rPr>
        <w:t xml:space="preserve">MVM was present in 13,119 (29.0%) pregnancies and AI in 10,188 (22.5%). IH developed in 700 of 40,700 infants (1.7%). Neither MVM (aRR 1.14, 95% CI 0.96, 1.35) nor AI (aRR 1.14, 95% CI 0.96, 1.35) was associated with IH, nor were the MVM score (aRR 1.05, 95% CI 0.97, 1.15) or AI score (aRR 1.03, 95% CI 0.98, 1.08). Infants whose placentas showed both MVM and AI had higher IH risk than those with neither (aRR 1.37, 95% CI 1.05, 1.78).</w:t>
      </w:r>
    </w:p>
    <w:p>
      <w:pPr>
        <w:spacing w:after="0" w:before="0" w:line="480"/>
      </w:pPr>
      <w:r>
        <w:rPr>
          <w:rFonts w:ascii="Times New Roman" w:cs="Times New Roman" w:eastAsia="Times New Roman" w:hAnsi="Times New Roman"/>
          <w:b/>
          <w:bCs/>
          <w:sz w:val="24"/>
          <w:szCs w:val="24"/>
        </w:rPr>
        <w:t xml:space="preserve">Discussion: </w:t>
      </w:r>
      <w:r>
        <w:rPr>
          <w:rFonts w:ascii="Times New Roman" w:cs="Times New Roman" w:eastAsia="Times New Roman" w:hAnsi="Times New Roman"/>
          <w:sz w:val="24"/>
          <w:szCs w:val="24"/>
        </w:rPr>
        <w:t xml:space="preserve">Neither placental MVM nor AI was associated with IH, although having both lesions was associated with higher risk.</w:t>
      </w:r>
    </w:p>
    <w:p>
      <w:pPr>
        <w:spacing w:after="0" w:before="240" w:line="480"/>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Infantile haemangioma, Placental pathology, Maternal vascular malperfusion, Placental inflammation, Collaborative Perinatal Project, Cohort studies</w:t>
      </w:r>
    </w:p>
    <w:p>
      <w:pPr>
        <w:keepNext/>
        <w:spacing w:after="0" w:before="240" w:line="480"/>
      </w:pPr>
      <w:r>
        <w:rPr>
          <w:rFonts w:ascii="Times New Roman" w:cs="Times New Roman" w:eastAsia="Times New Roman" w:hAnsi="Times New Roman"/>
          <w:b/>
          <w:bCs/>
          <w:i w:val="false"/>
          <w:iCs w:val="false"/>
          <w:sz w:val="24"/>
          <w:szCs w:val="24"/>
        </w:rPr>
        <w:t xml:space="preserve">Highlights</w:t>
      </w:r>
    </w:p>
    <w:p>
      <w:pPr>
        <w:spacing w:after="0" w:before="0" w:line="480"/>
      </w:pPr>
      <w:r>
        <w:rPr>
          <w:rFonts w:ascii="Times New Roman" w:cs="Times New Roman" w:eastAsia="Times New Roman" w:hAnsi="Times New Roman"/>
          <w:sz w:val="24"/>
          <w:szCs w:val="24"/>
        </w:rPr>
        <w:t xml:space="preserve">• Placental pathology and infantile haemangioma were studied in 45,268 pregnancies</w:t>
      </w:r>
    </w:p>
    <w:p>
      <w:pPr>
        <w:spacing w:after="0" w:before="0" w:line="480"/>
      </w:pPr>
      <w:r>
        <w:rPr>
          <w:rFonts w:ascii="Times New Roman" w:cs="Times New Roman" w:eastAsia="Times New Roman" w:hAnsi="Times New Roman"/>
          <w:sz w:val="24"/>
          <w:szCs w:val="24"/>
        </w:rPr>
        <w:t xml:space="preserve">• Placental MVM and AI alone were not associated with infantile haemangioma</w:t>
      </w:r>
    </w:p>
    <w:p>
      <w:pPr>
        <w:spacing w:after="0" w:before="0" w:line="480"/>
      </w:pPr>
      <w:r>
        <w:rPr>
          <w:rFonts w:ascii="Times New Roman" w:cs="Times New Roman" w:eastAsia="Times New Roman" w:hAnsi="Times New Roman"/>
          <w:sz w:val="24"/>
          <w:szCs w:val="24"/>
        </w:rPr>
        <w:t xml:space="preserve">• Haemangioma risk was higher when placentas showed both MVM and AI</w:t>
      </w:r>
    </w:p>
    <w:p>
      <w:pPr>
        <w:spacing w:after="0" w:before="0" w:line="480"/>
      </w:pPr>
      <w:r>
        <w:rPr>
          <w:rFonts w:ascii="Times New Roman" w:cs="Times New Roman" w:eastAsia="Times New Roman" w:hAnsi="Times New Roman"/>
          <w:sz w:val="24"/>
          <w:szCs w:val="24"/>
        </w:rPr>
        <w:t xml:space="preserve">• Placental diagnoses varied several-fold across the 12 study centres</w:t>
      </w:r>
    </w:p>
    <w:p>
      <w:pPr>
        <w:spacing w:after="0" w:before="0" w:line="480"/>
      </w:pPr>
      <w:r>
        <w:rPr>
          <w:rFonts w:ascii="Times New Roman" w:cs="Times New Roman" w:eastAsia="Times New Roman" w:hAnsi="Times New Roman"/>
          <w:sz w:val="24"/>
          <w:szCs w:val="24"/>
        </w:rPr>
        <w:t xml:space="preserve">• Multicentre placental studies should account for centre and pathologist</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1. Introduction</w:t>
      </w:r>
    </w:p>
    <w:p>
      <w:pPr>
        <w:spacing w:after="0" w:before="0" w:line="480"/>
        <w:ind w:firstLine="480"/>
      </w:pPr>
      <w:r>
        <w:rPr>
          <w:rFonts w:ascii="Times New Roman" w:cs="Times New Roman" w:eastAsia="Times New Roman" w:hAnsi="Times New Roman"/>
          <w:sz w:val="24"/>
          <w:szCs w:val="24"/>
        </w:rPr>
        <w:t xml:space="preserve">Infantile haemangioma (IH) is the most common tumour of infancy, affecting approximately 1.5% to 4.4% of infants [1]. IH typically presents as a raised, bright-red lesion in the first weeks after birth, most often on the head, neck, or trunk, and proliferates rapidly during the first months of life before slowly involuting [2,3]. Lesions on the face, airway, or other anatomically sensitive sites can cause visual obstruction, airway compromise, ulceration, and lasting disfigurement [2,4]. Despite this burden, the aetiology of IH remains incompletely understood. The most consistently reported risk factors, including female sex, preterm birth, low birthweight, and multiple gestation, together with more variably reported factors such as placenta praevia and pre-eclampsia, point to the maternal-placental-foetal unit as a plausible origin [5–8].</w:t>
      </w:r>
    </w:p>
    <w:p>
      <w:pPr>
        <w:spacing w:after="0" w:before="0" w:line="480"/>
        <w:ind w:firstLine="480"/>
      </w:pPr>
      <w:r>
        <w:rPr>
          <w:rFonts w:ascii="Times New Roman" w:cs="Times New Roman" w:eastAsia="Times New Roman" w:hAnsi="Times New Roman"/>
          <w:sz w:val="24"/>
          <w:szCs w:val="24"/>
        </w:rPr>
        <w:t xml:space="preserve">Several lines of evidence link IH to the placenta. IH endothelial cells share a distinctive immunophenotype with placental microvessels, including expression of glucose transporter 1, merosin, Lewis Y antigen, and FcγRII [9], and IH and placenta show closely related transcriptional profiles [10]. Proliferating IH displays a hypoxia-responsive phenotype, hypoxia-induced mediators of progenitor cell mobilisation are elevated in affected children [11,12], and clinical and histological observations have linked placental hypoxia to neonatal haemangioma [13]. These observations have led to the hypothesis that placental injury, and the intrauterine hypoxia or inflammation that accompanies it, may prime the development of IH [2,14]. Contemporary placental pathology classifies lesions into injury patterns that reflect distinct biological processes [15,16]. Two patterns are of particular relevance. Maternal vascular malperfusion (MVM) reflects impaired uteroplacental perfusion and oxygenation, and acute inflammation (AI) reflects neutrophilic infiltration of the placental membranes and foetal vessels in response to an inflammatory intrauterine milieu [16,17].</w:t>
      </w:r>
    </w:p>
    <w:p>
      <w:pPr>
        <w:spacing w:after="0" w:before="0" w:line="480"/>
        <w:ind w:firstLine="480"/>
      </w:pPr>
      <w:r>
        <w:rPr>
          <w:rFonts w:ascii="Times New Roman" w:cs="Times New Roman" w:eastAsia="Times New Roman" w:hAnsi="Times New Roman"/>
          <w:sz w:val="24"/>
          <w:szCs w:val="24"/>
        </w:rPr>
        <w:t xml:space="preserve">Few epidemiological studies have examined the placenta in relation to IH. In a prospective cohort of 594 infants with 27 IH cases, placental anomalies, a composite of clinical and pathological conditions including pre-eclampsia, placenta praevia, and growth restriction, were approximately twice as common in IH-affected pregnancies [7]. Among 26 very-low-birthweight infants, extensive infarction or retroplacental haematoma was reported in all 13 placentas from infants with IH [18], whereas a Swedish case-control study found no association between placental chorangioma and parent-reported IH [19]. These studies were small, drawn from selected clinical populations, and unadjusted for confounding, and none examined contemporary patterns of placental injury. Placental histopathology is also challenging to study across centres, because diagnostic thresholds for MVM and AI vary between pathologists and institutions [20–22].</w:t>
      </w:r>
    </w:p>
    <w:p>
      <w:pPr>
        <w:spacing w:after="0" w:before="0" w:line="480"/>
        <w:ind w:firstLine="480"/>
      </w:pPr>
      <w:r>
        <w:rPr>
          <w:rFonts w:ascii="Times New Roman" w:cs="Times New Roman" w:eastAsia="Times New Roman" w:hAnsi="Times New Roman"/>
          <w:sz w:val="24"/>
          <w:szCs w:val="24"/>
        </w:rPr>
        <w:t xml:space="preserve">The objective of this study was to examine associations of placental MVM and AI, individually and in combination, with paediatrician-ascertained IH by one year of age in the Collaborative Perinatal Project (CPP), a large prospective cohort with systematic placental histopathology and standardised infant examinations across 12 US clinical centres.</w:t>
      </w:r>
    </w:p>
    <w:p>
      <w:pPr>
        <w:keepNext/>
        <w:spacing w:after="0" w:before="240" w:line="480"/>
      </w:pPr>
      <w:r>
        <w:rPr>
          <w:rFonts w:ascii="Times New Roman" w:cs="Times New Roman" w:eastAsia="Times New Roman" w:hAnsi="Times New Roman"/>
          <w:b/>
          <w:bCs/>
          <w:i w:val="false"/>
          <w:iCs w:val="false"/>
          <w:sz w:val="24"/>
          <w:szCs w:val="24"/>
        </w:rPr>
        <w:t xml:space="preserve">2. Methods</w:t>
      </w:r>
    </w:p>
    <w:p>
      <w:pPr>
        <w:keepNext/>
        <w:spacing w:after="0" w:before="240" w:line="480"/>
      </w:pPr>
      <w:r>
        <w:rPr>
          <w:rFonts w:ascii="Times New Roman" w:cs="Times New Roman" w:eastAsia="Times New Roman" w:hAnsi="Times New Roman"/>
          <w:b/>
          <w:bCs/>
          <w:i/>
          <w:iCs/>
          <w:sz w:val="24"/>
          <w:szCs w:val="24"/>
        </w:rPr>
        <w:t xml:space="preserve">2.1. Study population</w:t>
      </w:r>
    </w:p>
    <w:p>
      <w:pPr>
        <w:spacing w:after="0" w:before="0" w:line="480"/>
        <w:ind w:firstLine="480"/>
      </w:pPr>
      <w:r>
        <w:rPr>
          <w:rFonts w:ascii="Times New Roman" w:cs="Times New Roman" w:eastAsia="Times New Roman" w:hAnsi="Times New Roman"/>
          <w:sz w:val="24"/>
          <w:szCs w:val="24"/>
        </w:rPr>
        <w:t xml:space="preserve">The CPP was a prospective cohort study conducted by the National Institute of Neurological Diseases and Stroke to examine perinatal factors in relation to neurological and developmental outcomes in offspring [23,24]. Pregnant women were enrolled at their first antenatal visit at 12 US clinical centres from 1959 to 1965, with deliveries continuing into 1966. Placentas were examined by trained study pathologists at each centre using a standardised protocol [25], and offspring underwent standardised examinations by study paediatricians at 12 months of age. The de-identified CPP data are publicly available through the US National Archives and Records Administration.</w:t>
      </w:r>
    </w:p>
    <w:p>
      <w:pPr>
        <w:spacing w:after="0" w:before="0" w:line="480"/>
        <w:ind w:firstLine="480"/>
      </w:pPr>
      <w:r>
        <w:rPr>
          <w:rFonts w:ascii="Times New Roman" w:cs="Times New Roman" w:eastAsia="Times New Roman" w:hAnsi="Times New Roman"/>
          <w:sz w:val="24"/>
          <w:szCs w:val="24"/>
        </w:rPr>
        <w:t xml:space="preserve">Of 59,391 pregnancies (infants) in the CPP, 47,090 had a placental pathology record (Fig. 1). Multiple gestations (n = 933) were excluded because twins may share a placenta, particularly in monochorionic pregnancies, so placental lesions cannot be assigned to the intrauterine exposure of an individual infant, and because multiple gestation is strongly associated with both placental pathology and IH [5]. Plurality was taken from the CPP delivery record and cross-checked against the placental pathology file. After further excluding pregnancies with a missing MVM score (n = 887) or missing AI data (n = 2), the analytic sample comprised 45,268 singleton pregnancies. This secondary analysis of de-identified, publicly available data was determined exempt by the University of Pennsylvania Institutional Review Board.</w:t>
      </w:r>
    </w:p>
    <w:p>
      <w:pPr>
        <w:keepNext/>
        <w:spacing w:after="0" w:before="240" w:line="480"/>
      </w:pPr>
      <w:r>
        <w:rPr>
          <w:rFonts w:ascii="Times New Roman" w:cs="Times New Roman" w:eastAsia="Times New Roman" w:hAnsi="Times New Roman"/>
          <w:b/>
          <w:bCs/>
          <w:i/>
          <w:iCs/>
          <w:sz w:val="24"/>
          <w:szCs w:val="24"/>
        </w:rPr>
        <w:t xml:space="preserve">2.2. Placental pathology</w:t>
      </w:r>
    </w:p>
    <w:p>
      <w:pPr>
        <w:spacing w:after="0" w:before="0" w:line="480"/>
        <w:ind w:firstLine="480"/>
      </w:pPr>
      <w:r>
        <w:rPr>
          <w:rFonts w:ascii="Times New Roman" w:cs="Times New Roman" w:eastAsia="Times New Roman" w:hAnsi="Times New Roman"/>
          <w:sz w:val="24"/>
          <w:szCs w:val="24"/>
        </w:rPr>
        <w:t xml:space="preserve">Placental examinations recorded individual lesions by anatomical location, including the umbilical cord, membranes, decidua, villi, and intervillous space. Consistent with contemporary classifications [15,16], individual lesions were organised by the authors into patterns of injury, as previously described for this cohort [25]. The MVM score summed the available MVM lesions (retroplacental haematoma, increased perivillous fibrin deposition, increased syncytial knots, single infarct, multiple infarcts, intervillous thrombus with adjacent villous infarction, decidual vascular thrombosis, fibrinoid necrosis, and atherosis), with one point for each lesion, and two additional points if the placenta had at least one MVM lesion and weighed less than the 10th percentile for gestational age based on an internal CPP reference [25]. Four lesions in the current MVM definition were not recorded in the CPP [25]. MVM was analysed as present (score of one or more) versus absent, as a continuous score (observed range 0 to 8), and as grade (none, low [score 1 to 2], or high [score 3 or more]).</w:t>
      </w:r>
    </w:p>
    <w:p>
      <w:pPr>
        <w:spacing w:after="0" w:before="0" w:line="480"/>
        <w:ind w:firstLine="480"/>
      </w:pPr>
      <w:r>
        <w:rPr>
          <w:rFonts w:ascii="Times New Roman" w:cs="Times New Roman" w:eastAsia="Times New Roman" w:hAnsi="Times New Roman"/>
          <w:sz w:val="24"/>
          <w:szCs w:val="24"/>
        </w:rPr>
        <w:t xml:space="preserve">AI was defined as neutrophilic infiltration, graded 0 to 3, in any of seven compartments. The amnion and chorion of the membrane roll and of the placental surface represented the maternal inflammatory response, and the umbilical vein, umbilical artery, and foetal surface vessels represented the foetal inflammatory response [15,20]. AI was analysed as present versus absent, as a score counting the number of involved compartments (0 to 7), as stage (none, low, or high) as recorded in the CPP placental dataset, and by location (maternal only, foetal only, or both).</w:t>
      </w:r>
    </w:p>
    <w:p>
      <w:pPr>
        <w:keepNext/>
        <w:spacing w:after="0" w:before="240" w:line="480"/>
      </w:pPr>
      <w:r>
        <w:rPr>
          <w:rFonts w:ascii="Times New Roman" w:cs="Times New Roman" w:eastAsia="Times New Roman" w:hAnsi="Times New Roman"/>
          <w:b/>
          <w:bCs/>
          <w:i/>
          <w:iCs/>
          <w:sz w:val="24"/>
          <w:szCs w:val="24"/>
        </w:rPr>
        <w:t xml:space="preserve">2.3. Outcome</w:t>
      </w:r>
    </w:p>
    <w:p>
      <w:pPr>
        <w:spacing w:after="0" w:before="0" w:line="480"/>
        <w:ind w:firstLine="480"/>
      </w:pPr>
      <w:r>
        <w:rPr>
          <w:rFonts w:ascii="Times New Roman" w:cs="Times New Roman" w:eastAsia="Times New Roman" w:hAnsi="Times New Roman"/>
          <w:sz w:val="24"/>
          <w:szCs w:val="24"/>
        </w:rPr>
        <w:t xml:space="preserve">Study paediatricians examined surviving offspring at approximately 12 months of age using a standardised protocol and recorded IH as definite, suspect, or absent. The primary outcome was definite IH. In a prespecified sensitivity analysis, suspect cases were also classified as IH.</w:t>
      </w:r>
    </w:p>
    <w:p>
      <w:pPr>
        <w:keepNext/>
        <w:spacing w:after="0" w:before="240" w:line="480"/>
      </w:pPr>
      <w:r>
        <w:rPr>
          <w:rFonts w:ascii="Times New Roman" w:cs="Times New Roman" w:eastAsia="Times New Roman" w:hAnsi="Times New Roman"/>
          <w:b/>
          <w:bCs/>
          <w:i/>
          <w:iCs/>
          <w:sz w:val="24"/>
          <w:szCs w:val="24"/>
        </w:rPr>
        <w:t xml:space="preserve">2.4. Covariates</w:t>
      </w:r>
    </w:p>
    <w:p>
      <w:pPr>
        <w:spacing w:after="0" w:before="0" w:line="480"/>
        <w:ind w:firstLine="480"/>
      </w:pPr>
      <w:r>
        <w:rPr>
          <w:rFonts w:ascii="Times New Roman" w:cs="Times New Roman" w:eastAsia="Times New Roman" w:hAnsi="Times New Roman"/>
          <w:sz w:val="24"/>
          <w:szCs w:val="24"/>
        </w:rPr>
        <w:t xml:space="preserve">Confounders were selected a priori as potential common causes of placental pathology and IH and were measured before pregnancy or at enrolment. They were maternal age (continuous), pre-pregnancy body mass index (continuous), race and ethnicity (White [reference], Black, Puerto Rican, or other), education (less than high school [reference], some high school, high school graduate, or some college or more), annual family income (seven categories, with $4,000 to $5,999 as reference), marital status (married or common law [reference], single, or widowed, divorced, or separated), smoking (none [reference], 1 to 19, or 20 or more cigarettes per day), parity (0 [reference], 1, 2, 3, or 4 or more), pre-pregnancy diabetes, chronic hypertension (including superimposed pre-eclampsia), and infant sex (female [reference] or male). Race and ethnicity was included as a marker of social and structural factors that may influence both health and diagnosis. Study site was included in the primary model because placental diagnoses and IH prevalence varied markedly across centres. Gestational age, birthweight, and hypertensive disorders arising during pregnancy were not adjusted for because they may lie on the pathway between placental pathology and IH [26]. Small for gestational age (SGA), shown descriptively, was defined as birthweight below the 10th percentile for gestational age and sex based on an internal CPP reference.</w:t>
      </w:r>
    </w:p>
    <w:p>
      <w:pPr>
        <w:keepNext/>
        <w:spacing w:after="0" w:before="240" w:line="480"/>
      </w:pPr>
      <w:r>
        <w:rPr>
          <w:rFonts w:ascii="Times New Roman" w:cs="Times New Roman" w:eastAsia="Times New Roman" w:hAnsi="Times New Roman"/>
          <w:b/>
          <w:bCs/>
          <w:i/>
          <w:iCs/>
          <w:sz w:val="24"/>
          <w:szCs w:val="24"/>
        </w:rPr>
        <w:t xml:space="preserve">2.5. Statistical analysis</w:t>
      </w:r>
    </w:p>
    <w:p>
      <w:pPr>
        <w:spacing w:after="0" w:before="0" w:line="480"/>
        <w:ind w:firstLine="480"/>
      </w:pPr>
      <w:r>
        <w:rPr>
          <w:rFonts w:ascii="Times New Roman" w:cs="Times New Roman" w:eastAsia="Times New Roman" w:hAnsi="Times New Roman"/>
          <w:sz w:val="24"/>
          <w:szCs w:val="24"/>
        </w:rPr>
        <w:t xml:space="preserve">Missing covariate data (body mass index 8.7%, income 6.3%, education 1.4%, parity 1.0%, smoking 0.8%, and less than 0.1% for other covariates) were imputed by multiple imputation by chained equations (20 datasets, 10 iterations), using all covariates, exposures, and study site as predictors [27]. Exposures and outcomes were not imputed. Estimates were combined across datasets using Rubin's rules [28].</w:t>
      </w:r>
    </w:p>
    <w:p>
      <w:pPr>
        <w:spacing w:after="0" w:before="0" w:line="480"/>
        <w:ind w:firstLine="480"/>
      </w:pPr>
      <w:r>
        <w:rPr>
          <w:rFonts w:ascii="Times New Roman" w:cs="Times New Roman" w:eastAsia="Times New Roman" w:hAnsi="Times New Roman"/>
          <w:sz w:val="24"/>
          <w:szCs w:val="24"/>
        </w:rPr>
        <w:t xml:space="preserve">Of the 45,268 infants, 1,834 (4.1%) died before the one-year examination and 2,734 (6.0%) survived without an IH examination. To reduce selection bias from restricting analyses to infants with an observed outcome [29], stabilised inverse probability of censoring weights were estimated within each imputed dataset. The denominator model included MVM, AI, all covariates, and study site, and the numerator model included an intercept only [30]. Weights ranged from 0.91 to 1.81.</w:t>
      </w:r>
    </w:p>
    <w:p>
      <w:pPr>
        <w:spacing w:after="0" w:before="0" w:line="480"/>
        <w:ind w:firstLine="480"/>
      </w:pPr>
      <w:r>
        <w:rPr>
          <w:rFonts w:ascii="Times New Roman" w:cs="Times New Roman" w:eastAsia="Times New Roman" w:hAnsi="Times New Roman"/>
          <w:sz w:val="24"/>
          <w:szCs w:val="24"/>
        </w:rPr>
        <w:t xml:space="preserve">Relative risks (RR) and 95% confidence intervals (CI) were estimated with modified Poisson regression [31] using generalised estimating equations with an exchangeable correlation structure, to account for siblings born to the same mother [32]. The exposures, (1) MVM and (2) AI, were each examined in separate models, both as binary variables (present versus absent) and as continuous scores (MVM per point and AI per involved compartment). MVM and AI were also examined jointly using (1) a four-category joint exposure that compared placentas with MVM only, AI only, or both against placentas with neither, and (2) a mutually adjusted model that included any MVM and any AI in the same model, to estimate the association of each lesion pattern while holding the other constant. Three models were fitted for each exposure: (1) crude, (2) primary (11 covariates, study site, and weights), and (3) secondary (11 covariates and weights, without study site). For the joint exposure, additive interaction was quantified with the relative excess risk due to interaction (RERI), the attributable proportion, and the synergy index, and multiplicative interaction with the ratio of RRs, with CIs estimated by the delta method from the pooled variance-covariance matrix [33,34].</w:t>
      </w:r>
    </w:p>
    <w:p>
      <w:pPr>
        <w:spacing w:after="0" w:before="0" w:line="480"/>
        <w:ind w:firstLine="480"/>
      </w:pPr>
      <w:r>
        <w:rPr>
          <w:rFonts w:ascii="Times New Roman" w:cs="Times New Roman" w:eastAsia="Times New Roman" w:hAnsi="Times New Roman"/>
          <w:sz w:val="24"/>
          <w:szCs w:val="24"/>
        </w:rPr>
        <w:t xml:space="preserve">Sensitivity analyses examined (1) MVM grade and AI stage (i.e., none [reference], low, or high, to assess whether IH risk increased with lesion severity), (2) AI by maternal or foetal involvement (i.e., maternal response only [amnion or chorion], foetal response only [umbilical vessels or foetal surface vessels], or both, compared with no AI), (3) sequential addition of covariate groups and study site, (4) study site as a random intercept instead of a fixed effect, (5) stratification by the Boston centre, where 92.6% of placentas were examined by one pathologist [22], versus the other 11 centres, and (6) the broader outcome that included suspect IH.</w:t>
      </w:r>
    </w:p>
    <w:p>
      <w:pPr>
        <w:keepNext/>
        <w:spacing w:after="0" w:before="240" w:line="480"/>
      </w:pPr>
      <w:r>
        <w:rPr>
          <w:rFonts w:ascii="Times New Roman" w:cs="Times New Roman" w:eastAsia="Times New Roman" w:hAnsi="Times New Roman"/>
          <w:b/>
          <w:bCs/>
          <w:i w:val="false"/>
          <w:iCs w:val="false"/>
          <w:sz w:val="24"/>
          <w:szCs w:val="24"/>
        </w:rPr>
        <w:t xml:space="preserve">3. Results</w:t>
      </w:r>
    </w:p>
    <w:p>
      <w:pPr>
        <w:keepNext/>
        <w:spacing w:after="0" w:before="240" w:line="480"/>
      </w:pPr>
      <w:r>
        <w:rPr>
          <w:rFonts w:ascii="Times New Roman" w:cs="Times New Roman" w:eastAsia="Times New Roman" w:hAnsi="Times New Roman"/>
          <w:b/>
          <w:bCs/>
          <w:i/>
          <w:iCs/>
          <w:sz w:val="24"/>
          <w:szCs w:val="24"/>
        </w:rPr>
        <w:t xml:space="preserve">3.1. Participants</w:t>
      </w:r>
    </w:p>
    <w:p>
      <w:pPr>
        <w:spacing w:after="0" w:before="0" w:line="480"/>
        <w:ind w:firstLine="480"/>
      </w:pPr>
      <w:r>
        <w:rPr>
          <w:rFonts w:ascii="Times New Roman" w:cs="Times New Roman" w:eastAsia="Times New Roman" w:hAnsi="Times New Roman"/>
          <w:sz w:val="24"/>
          <w:szCs w:val="24"/>
        </w:rPr>
        <w:t xml:space="preserve">Of 45,268 pregnancies, 29.0% (13,119) had any MVM, 22.5% (10,188) had any AI, and 7.9% (3,554) had both (Table 1). Pregnancies with MVM more often involved women with less than a high school education (19.7% vs 16.3%) and pre-pregnancy diabetes (2.1% vs 1.3%). Pregnancies with AI more often involved White women (52.3% vs 47.0%) and heavy smoking (20.5% vs 16.6%). Among the 40,700 infants (89.9%) with an observed outcome, 1.7% (700) had definite IH and a further 0.6% (230) had suspect IH (Supplementary Table S1).</w:t>
      </w:r>
    </w:p>
    <w:p>
      <w:pPr>
        <w:spacing w:after="0" w:before="0" w:line="480"/>
        <w:ind w:firstLine="480"/>
      </w:pPr>
      <w:r>
        <w:rPr>
          <w:rFonts w:ascii="Times New Roman" w:cs="Times New Roman" w:eastAsia="Times New Roman" w:hAnsi="Times New Roman"/>
          <w:sz w:val="24"/>
          <w:szCs w:val="24"/>
        </w:rPr>
        <w:t xml:space="preserve">Across centres, any MVM ranged from 9.8% to 80.3%, any AI from 14.5% to 38.1%, and definite IH from 0.4% to 3.6% (Supplementary Table S2). Boston contributed 41.4% (290/700) of IH cases.</w:t>
      </w:r>
    </w:p>
    <w:p>
      <w:pPr>
        <w:keepNext/>
        <w:spacing w:after="0" w:before="240" w:line="480"/>
      </w:pPr>
      <w:r>
        <w:rPr>
          <w:rFonts w:ascii="Times New Roman" w:cs="Times New Roman" w:eastAsia="Times New Roman" w:hAnsi="Times New Roman"/>
          <w:b/>
          <w:bCs/>
          <w:i/>
          <w:iCs/>
          <w:sz w:val="24"/>
          <w:szCs w:val="24"/>
        </w:rPr>
        <w:t xml:space="preserve">3.2. MVM, AI, and IH</w:t>
      </w:r>
    </w:p>
    <w:p>
      <w:pPr>
        <w:spacing w:after="0" w:before="0" w:line="480"/>
        <w:ind w:firstLine="480"/>
      </w:pPr>
      <w:r>
        <w:rPr>
          <w:rFonts w:ascii="Times New Roman" w:cs="Times New Roman" w:eastAsia="Times New Roman" w:hAnsi="Times New Roman"/>
          <w:sz w:val="24"/>
          <w:szCs w:val="24"/>
        </w:rPr>
        <w:t xml:space="preserve">IH occurred in 2.0% (225/11,324) of infants with MVM and 1.6% (475/29,376) of those without, and in 2.0% (181/8,880) of infants with AI and 1.6% (519/31,820) of those without (Table 2). In primary models, neither any MVM (RR 1.14, 95% CI 0.96, 1.35) nor any AI (RR 1.14, 95% CI 0.96, 1.35) was associated with IH, nor were the MVM score (per point, RR 1.05, 95% CI 0.97, 1.15) or AI score (per compartment, RR 1.03, 95% CI 0.98, 1.08). Without adjustment for study site, estimates were larger (MVM RR 1.25, 95% CI 1.07, 1.46, and AI RR 1.20, 95% CI 1.02, 1.42). Adjustment for the 11 covariates changed estimates little, and almost all of the difference between crude and primary estimates arose when study site was added (Supplementary Table S3). Mutual adjustment for MVM and AI did not change either estimate (Supplementary Table S4).</w:t>
      </w:r>
    </w:p>
    <w:p>
      <w:pPr>
        <w:keepNext/>
        <w:spacing w:after="0" w:before="240" w:line="480"/>
      </w:pPr>
      <w:r>
        <w:rPr>
          <w:rFonts w:ascii="Times New Roman" w:cs="Times New Roman" w:eastAsia="Times New Roman" w:hAnsi="Times New Roman"/>
          <w:b/>
          <w:bCs/>
          <w:i/>
          <w:iCs/>
          <w:sz w:val="24"/>
          <w:szCs w:val="24"/>
        </w:rPr>
        <w:t xml:space="preserve">3.3. Joint exposure to MVM and AI</w:t>
      </w:r>
    </w:p>
    <w:p>
      <w:pPr>
        <w:spacing w:after="0" w:before="0" w:line="480"/>
        <w:ind w:firstLine="480"/>
      </w:pPr>
      <w:r>
        <w:rPr>
          <w:rFonts w:ascii="Times New Roman" w:cs="Times New Roman" w:eastAsia="Times New Roman" w:hAnsi="Times New Roman"/>
          <w:sz w:val="24"/>
          <w:szCs w:val="24"/>
        </w:rPr>
        <w:t xml:space="preserve">Compared with placentas that had neither pattern (IH 1.6%, 364/23,391), IH risk was similar for placentas with MVM only (1.8%, RR 1.08, 95% CI 0.89, 1.32) or AI only (1.9%, RR 1.07, 95% CI 0.86, 1.32), and higher for placentas with both (2.4%, 70/2,895, RR 1.37, 95% CI 1.05, 1.78) (Table 2). The RERI was 0.22 (95% CI −0.20, 0.64), the attributable proportion was 0.16 (95% CI −0.12, 0.44), and the ratio of RRs was 1.18 (95% CI 0.83, 1.68). These estimates were compatible with, but did not establish, interaction on either scale (Supplementary Table S5).</w:t>
      </w:r>
    </w:p>
    <w:p>
      <w:pPr>
        <w:keepNext/>
        <w:spacing w:after="0" w:before="240" w:line="480"/>
      </w:pPr>
      <w:r>
        <w:rPr>
          <w:rFonts w:ascii="Times New Roman" w:cs="Times New Roman" w:eastAsia="Times New Roman" w:hAnsi="Times New Roman"/>
          <w:b/>
          <w:bCs/>
          <w:i/>
          <w:iCs/>
          <w:sz w:val="24"/>
          <w:szCs w:val="24"/>
        </w:rPr>
        <w:t xml:space="preserve">3.4. Grade, stage, and location of placental lesions</w:t>
      </w:r>
    </w:p>
    <w:p>
      <w:pPr>
        <w:spacing w:after="0" w:before="0" w:line="480"/>
        <w:ind w:firstLine="480"/>
      </w:pPr>
      <w:r>
        <w:rPr>
          <w:rFonts w:ascii="Times New Roman" w:cs="Times New Roman" w:eastAsia="Times New Roman" w:hAnsi="Times New Roman"/>
          <w:sz w:val="24"/>
          <w:szCs w:val="24"/>
        </w:rPr>
        <w:t xml:space="preserve">No dose-response was observed. Compared with no MVM, the RR was 1.15 (95% CI 0.96, 1.37) for low-grade and 1.09 (95% CI 0.77, 1.55) for high-grade MVM. For AI, the RR was 1.26 (95% CI 1.02, 1.55) for low stage and 1.00 (95% CI 0.78, 1.28) for high stage (Supplementary Table S6). By location, RRs were 1.07 (95% CI 0.81, 1.43) for maternal-only, 1.12 (95% CI 0.86, 1.47) for foetal-only, and 1.20 (95% CI 0.94, 1.55) for combined maternal and foetal inflammation (Supplementary Table S7). Foetal-only inflammation, which involved the umbilical vein in 87.8% of cases, had the largest crude estimate (RR 1.67, 95% CI 1.29, 2.18), which fell to 1.12 after adjustment for study site. Among infants with an observed outcome, 61.1% (1,359/2,224) of placentas with foetal-only inflammation were from Boston, where this pattern was recorded in 14.1% of placentas compared with 0.9% to 8.1% at the other centres.</w:t>
      </w:r>
    </w:p>
    <w:p>
      <w:pPr>
        <w:keepNext/>
        <w:spacing w:after="0" w:before="240" w:line="480"/>
      </w:pPr>
      <w:r>
        <w:rPr>
          <w:rFonts w:ascii="Times New Roman" w:cs="Times New Roman" w:eastAsia="Times New Roman" w:hAnsi="Times New Roman"/>
          <w:b/>
          <w:bCs/>
          <w:i/>
          <w:iCs/>
          <w:sz w:val="24"/>
          <w:szCs w:val="24"/>
        </w:rPr>
        <w:t xml:space="preserve">3.5. Study site and sensitivity analyses</w:t>
      </w:r>
    </w:p>
    <w:p>
      <w:pPr>
        <w:spacing w:after="0" w:before="0" w:line="480"/>
        <w:ind w:firstLine="480"/>
      </w:pPr>
      <w:r>
        <w:rPr>
          <w:rFonts w:ascii="Times New Roman" w:cs="Times New Roman" w:eastAsia="Times New Roman" w:hAnsi="Times New Roman"/>
          <w:sz w:val="24"/>
          <w:szCs w:val="24"/>
        </w:rPr>
        <w:t xml:space="preserve">In Boston, the RR was 1.11 (95% CI 0.87, 1.42) for MVM and 1.28 (95% CI 1.00, 1.63) for AI, compared with 1.14 (95% CI 0.90, 1.44) and 1.03 (95% CI 0.82, 1.31) at the other 11 centres (Supplementary Table S8). AI was recorded more often in Boston than elsewhere (27.6% vs 20.9%), whereas MVM prevalence was similar (29.8% vs 28.7%).</w:t>
      </w:r>
    </w:p>
    <w:p>
      <w:pPr>
        <w:spacing w:after="0" w:before="0" w:line="480"/>
        <w:ind w:firstLine="480"/>
      </w:pPr>
      <w:r>
        <w:rPr>
          <w:rFonts w:ascii="Times New Roman" w:cs="Times New Roman" w:eastAsia="Times New Roman" w:hAnsi="Times New Roman"/>
          <w:sz w:val="24"/>
          <w:szCs w:val="24"/>
        </w:rPr>
        <w:t xml:space="preserve">Results were similar when study site was modelled as a random effect (MVM RR 1.16, AI RR 1.15) and when suspect IH was included in the outcome (MVM RR 1.13, AI RR 1.10) (Supplementary Tables S9 and S10). Inverse probability weighting changed no estimate by more than 0.01.</w:t>
      </w:r>
    </w:p>
    <w:p>
      <w:pPr>
        <w:keepNext/>
        <w:spacing w:after="0" w:before="240" w:line="480"/>
      </w:pPr>
      <w:r>
        <w:rPr>
          <w:rFonts w:ascii="Times New Roman" w:cs="Times New Roman" w:eastAsia="Times New Roman" w:hAnsi="Times New Roman"/>
          <w:b/>
          <w:bCs/>
          <w:i w:val="false"/>
          <w:iCs w:val="false"/>
          <w:sz w:val="24"/>
          <w:szCs w:val="24"/>
        </w:rPr>
        <w:t xml:space="preserve">4. Discussion</w:t>
      </w:r>
    </w:p>
    <w:p>
      <w:pPr>
        <w:keepNext/>
        <w:spacing w:after="0" w:before="240" w:line="480"/>
      </w:pPr>
      <w:r>
        <w:rPr>
          <w:rFonts w:ascii="Times New Roman" w:cs="Times New Roman" w:eastAsia="Times New Roman" w:hAnsi="Times New Roman"/>
          <w:b/>
          <w:bCs/>
          <w:i/>
          <w:iCs/>
          <w:sz w:val="24"/>
          <w:szCs w:val="24"/>
        </w:rPr>
        <w:t xml:space="preserve">4.1. Principal findings</w:t>
      </w:r>
    </w:p>
    <w:p>
      <w:pPr>
        <w:spacing w:after="0" w:before="0" w:line="480"/>
        <w:ind w:firstLine="480"/>
      </w:pPr>
      <w:r>
        <w:rPr>
          <w:rFonts w:ascii="Times New Roman" w:cs="Times New Roman" w:eastAsia="Times New Roman" w:hAnsi="Times New Roman"/>
          <w:sz w:val="24"/>
          <w:szCs w:val="24"/>
        </w:rPr>
        <w:t xml:space="preserve">In this prospective cohort of 45,268 singleton pregnancies, neither placental MVM nor AI was associated with IH after accounting for study site. Point estimates were slightly above the null, and the confidence intervals could not exclude either no association or a small increase in risk. There was no dose-response by MVM grade or AI stage. IH risk was highest when both MVM and AI were present, although the interaction estimate was imprecise. Much of the association observed without adjustment for site was explained by study site, which was more strongly associated with the recorded placental diagnoses than with IH.</w:t>
      </w:r>
    </w:p>
    <w:p>
      <w:pPr>
        <w:keepNext/>
        <w:spacing w:after="0" w:before="240" w:line="480"/>
      </w:pPr>
      <w:r>
        <w:rPr>
          <w:rFonts w:ascii="Times New Roman" w:cs="Times New Roman" w:eastAsia="Times New Roman" w:hAnsi="Times New Roman"/>
          <w:b/>
          <w:bCs/>
          <w:i/>
          <w:iCs/>
          <w:sz w:val="24"/>
          <w:szCs w:val="24"/>
        </w:rPr>
        <w:t xml:space="preserve">4.2. Study site and placental diagnosis</w:t>
      </w:r>
    </w:p>
    <w:p>
      <w:pPr>
        <w:spacing w:after="0" w:before="0" w:line="480"/>
        <w:ind w:firstLine="480"/>
      </w:pPr>
      <w:r>
        <w:rPr>
          <w:rFonts w:ascii="Times New Roman" w:cs="Times New Roman" w:eastAsia="Times New Roman" w:hAnsi="Times New Roman"/>
          <w:sz w:val="24"/>
          <w:szCs w:val="24"/>
        </w:rPr>
        <w:t xml:space="preserve">Variation in placental diagnosis across centres is central to interpreting these findings. MVM was recorded in 9.8% of placentas at one CPP centre and 80.3% at another, a range too wide to reflect differences in the populations alone. This is consistent with evidence that agreement between pathologists is only slight to fair for MVM, even when Amsterdam criteria are applied [21], and that agreement for AI, although high for its presence, is lower for staging [20]. Because IH prevalence also varied across centres, possibly reflecting differences in populations and in paediatric ascertainment, centre-level differences in diagnostic thresholds can confound the association between a recorded placental lesion and IH. Adjustment for study site compares placentas read within the same centre, and the resulting attenuation (MVM from 1.25 to 1.14, AI from 1.20 to 1.14) is consistent with removal of between-centre confounding. Estimates were similar when site was modelled as a random effect.</w:t>
      </w:r>
    </w:p>
    <w:p>
      <w:pPr>
        <w:spacing w:after="0" w:before="0" w:line="480"/>
        <w:ind w:firstLine="480"/>
      </w:pPr>
      <w:r>
        <w:rPr>
          <w:rFonts w:ascii="Times New Roman" w:cs="Times New Roman" w:eastAsia="Times New Roman" w:hAnsi="Times New Roman"/>
          <w:sz w:val="24"/>
          <w:szCs w:val="24"/>
        </w:rPr>
        <w:t xml:space="preserve">The Boston centre illustrates how reader practice can shape an exposure. Earlier CPP analyses restricted placental analyses to Boston, where one pathologist examined 92.6% of placentas, to maximise consistency [22]. In the present study, AI was recorded more often in Boston than at other centres, and foetal inflammation without a maternal response, usually limited to the umbilical vein, was recorded far more often. Because a foetal inflammatory response ordinarily follows a maternal response [20,35], this pattern suggests a lower diagnostic threshold rather than a different population. Consistency within a single reader therefore does not ensure comparability with other readers, and the stronger association between AI and IH in Boston should be interpreted with caution. Multicentre placental studies should account for centre and, where possible, reader, and would benefit from central review with calibration across pathologists.</w:t>
      </w:r>
    </w:p>
    <w:p>
      <w:pPr>
        <w:keepNext/>
        <w:spacing w:after="0" w:before="240" w:line="480"/>
      </w:pPr>
      <w:r>
        <w:rPr>
          <w:rFonts w:ascii="Times New Roman" w:cs="Times New Roman" w:eastAsia="Times New Roman" w:hAnsi="Times New Roman"/>
          <w:b/>
          <w:bCs/>
          <w:i/>
          <w:iCs/>
          <w:sz w:val="24"/>
          <w:szCs w:val="24"/>
        </w:rPr>
        <w:t xml:space="preserve">4.3. Comparison with previous studies</w:t>
      </w:r>
    </w:p>
    <w:p>
      <w:pPr>
        <w:spacing w:after="0" w:before="0" w:line="480"/>
        <w:ind w:firstLine="480"/>
      </w:pPr>
      <w:r>
        <w:rPr>
          <w:rFonts w:ascii="Times New Roman" w:cs="Times New Roman" w:eastAsia="Times New Roman" w:hAnsi="Times New Roman"/>
          <w:sz w:val="24"/>
          <w:szCs w:val="24"/>
        </w:rPr>
        <w:t xml:space="preserve">Earlier studies reported that placental anomalies were more common in pregnancies affected by IH [7,18]. These studies were small, used composite or selected exposures, and did not adjust for confounding, and the present estimates are considerably smaller. The findings are also consistent with a previous CPP analysis that found no clear association between hypertensive disorders of pregnancy and IH [36]. This may reflect that clinically defined hypertensive disorders are not consistently accompanied by MVM [37]. The findings also agree with evidence that the association between pre-eclampsia and IH in administrative data largely reflects greater surveillance of infants with longer neonatal stays [38]. Together, these studies suggest that placental vascular injury is not a major determinant of IH, and that any contribution is likely to be small.</w:t>
      </w:r>
    </w:p>
    <w:p>
      <w:pPr>
        <w:keepNext/>
        <w:spacing w:after="0" w:before="240" w:line="480"/>
      </w:pPr>
      <w:r>
        <w:rPr>
          <w:rFonts w:ascii="Times New Roman" w:cs="Times New Roman" w:eastAsia="Times New Roman" w:hAnsi="Times New Roman"/>
          <w:b/>
          <w:bCs/>
          <w:i/>
          <w:iCs/>
          <w:sz w:val="24"/>
          <w:szCs w:val="24"/>
        </w:rPr>
        <w:t xml:space="preserve">4.4. Biological interpretation</w:t>
      </w:r>
    </w:p>
    <w:p>
      <w:pPr>
        <w:spacing w:after="0" w:before="0" w:line="480"/>
        <w:ind w:firstLine="480"/>
      </w:pPr>
      <w:r>
        <w:rPr>
          <w:rFonts w:ascii="Times New Roman" w:cs="Times New Roman" w:eastAsia="Times New Roman" w:hAnsi="Times New Roman"/>
          <w:sz w:val="24"/>
          <w:szCs w:val="24"/>
        </w:rPr>
        <w:t xml:space="preserve">The hypoxia hypothesis offers a plausible framework for a link between MVM and IH. IH shares markers and transcriptional programmes with placental tissue [9,10], and hypoxia-induced mediators of progenitor cell mobilisation are elevated in children with IH [11,14]. However, this evidence demonstrates a shared or hypoxia-responsive phenotype within established lesions rather than a causal effect of placental malperfusion, and genetic studies have not supported a maternal origin of IH cells [39]. The null finding for MVM does not refute the hypothesis, because a small effect cannot be excluded, but it provides no support for a strong link. The absence of a gradient by MVM grade argues against a strong effect, although incomplete capture of MVM lesions and misclassification would attenuate a true gradient. One possibility, consistent with the predominantly postnatal growth of IH, is that antenatal placental injury expands a susceptible population of endothelial progenitor cells, whereas postnatal hormonal and angiogenic signals determine whether it proliferates [2,3]. This two-stage model has not been tested prospectively.</w:t>
      </w:r>
    </w:p>
    <w:p>
      <w:pPr>
        <w:spacing w:after="0" w:before="0" w:line="480"/>
        <w:ind w:firstLine="480"/>
      </w:pPr>
      <w:r>
        <w:rPr>
          <w:rFonts w:ascii="Times New Roman" w:cs="Times New Roman" w:eastAsia="Times New Roman" w:hAnsi="Times New Roman"/>
          <w:sz w:val="24"/>
          <w:szCs w:val="24"/>
        </w:rPr>
        <w:t xml:space="preserve">AI is a less plausible cause of IH. Histological AI generally reflects an inflammatory process close to delivery, often of infectious origin, and a direct effect on localised skin angiogenesis would require a systemic foetal inflammatory response with lasting consequences [17,35]. The higher estimate for low-stage than high-stage AI, the absence of a clear gradient from maternal to foetal involvement, and the centre-specific pattern of foetal-only inflammation all argue against a causal interpretation. For retinopathy of prematurity, another postnatal disorder of angiogenesis, the association with chorioamnionitis is largely explained by lower gestational age [40], and AI may similarly mark pathways to preterm birth rather than act on IH directly.</w:t>
      </w:r>
    </w:p>
    <w:p>
      <w:pPr>
        <w:spacing w:after="0" w:before="0" w:line="480"/>
        <w:ind w:firstLine="480"/>
      </w:pPr>
      <w:r>
        <w:rPr>
          <w:rFonts w:ascii="Times New Roman" w:cs="Times New Roman" w:eastAsia="Times New Roman" w:hAnsi="Times New Roman"/>
          <w:sz w:val="24"/>
          <w:szCs w:val="24"/>
        </w:rPr>
        <w:t xml:space="preserve">The higher risk when MVM and AI co-occurred is compatible with a multiple-hit model in which vascular and inflammatory insults converge on foetal angiogenic signalling [2,17]. However, the interaction estimate was imprecise and compatible with no departure from additivity, neither lesion showed a dose-response, and the joint category was one of several related contrasts. This finding should therefore be regarded as hypothesis-generating.</w:t>
      </w:r>
    </w:p>
    <w:p>
      <w:pPr>
        <w:keepNext/>
        <w:spacing w:after="0" w:before="240" w:line="480"/>
      </w:pPr>
      <w:r>
        <w:rPr>
          <w:rFonts w:ascii="Times New Roman" w:cs="Times New Roman" w:eastAsia="Times New Roman" w:hAnsi="Times New Roman"/>
          <w:b/>
          <w:bCs/>
          <w:i/>
          <w:iCs/>
          <w:sz w:val="24"/>
          <w:szCs w:val="24"/>
        </w:rPr>
        <w:t xml:space="preserve">4.5. Strengths and limitations</w:t>
      </w:r>
    </w:p>
    <w:p>
      <w:pPr>
        <w:spacing w:after="0" w:before="0" w:line="480"/>
        <w:ind w:firstLine="480"/>
      </w:pPr>
      <w:r>
        <w:rPr>
          <w:rFonts w:ascii="Times New Roman" w:cs="Times New Roman" w:eastAsia="Times New Roman" w:hAnsi="Times New Roman"/>
          <w:sz w:val="24"/>
          <w:szCs w:val="24"/>
        </w:rPr>
        <w:t xml:space="preserve">Strengths of this study include its prospective design, in which placentas were examined at delivery before any infant outcome was known, and the standardised paediatrician examination of all surviving infants regardless of exposure, which avoids the referral and surveillance biases of clinic-based and administrative studies. More than 45,000 placentas were examined under a common protocol. The analysis addressed confounding by centre, missing covariate data, selection due to death and loss to follow-up, and clustering of siblings.</w:t>
      </w:r>
    </w:p>
    <w:p>
      <w:pPr>
        <w:spacing w:after="0" w:before="0" w:line="480"/>
        <w:ind w:firstLine="480"/>
      </w:pPr>
      <w:r>
        <w:rPr>
          <w:rFonts w:ascii="Times New Roman" w:cs="Times New Roman" w:eastAsia="Times New Roman" w:hAnsi="Times New Roman"/>
          <w:sz w:val="24"/>
          <w:szCs w:val="24"/>
        </w:rPr>
        <w:t xml:space="preserve">Several limitations should be considered. First, despite the size of the cohort, IH is uncommon, and the study had limited power to detect small associations. Power to detect the observed RR of 1.14 was approximately 36% for MVM and 32% for AI, so small effects cannot be excluded. Second, the CPP predates the Amsterdam consensus, four lesions in the current MVM definition were not recorded [25], and both random and centre-specific exposure misclassification are likely. Third, IH was ascertained at a single examination at 12 months. Most IH reach their maximum size by five months of age and remain visible at one year [3], but small or involuting lesions may have been missed, and the diagnostic categories of the 1960s predate the modern classification of vascular anomalies. Outcome misclassification unrelated to placental pathology would most likely attenuate associations. Fourth, differences in IH ascertainment across centres may not be fully captured by adjustment for site. Fifth, residual confounding is possible, including by maternal history of angioma, an established risk factor that was not recorded [41]. Finally, gestational age and birthweight were not adjusted for because they may mediate effects of placental pathology [26], so estimates represent total effects.</w:t>
      </w:r>
    </w:p>
    <w:p>
      <w:pPr>
        <w:keepNext/>
        <w:spacing w:after="0" w:before="240" w:line="480"/>
      </w:pPr>
      <w:r>
        <w:rPr>
          <w:rFonts w:ascii="Times New Roman" w:cs="Times New Roman" w:eastAsia="Times New Roman" w:hAnsi="Times New Roman"/>
          <w:b/>
          <w:bCs/>
          <w:i/>
          <w:iCs/>
          <w:sz w:val="24"/>
          <w:szCs w:val="24"/>
        </w:rPr>
        <w:t xml:space="preserve">4.6. Future directions</w:t>
      </w:r>
    </w:p>
    <w:p>
      <w:pPr>
        <w:spacing w:after="0" w:before="0" w:line="480"/>
        <w:ind w:firstLine="480"/>
      </w:pPr>
      <w:r>
        <w:rPr>
          <w:rFonts w:ascii="Times New Roman" w:cs="Times New Roman" w:eastAsia="Times New Roman" w:hAnsi="Times New Roman"/>
          <w:sz w:val="24"/>
          <w:szCs w:val="24"/>
        </w:rPr>
        <w:t xml:space="preserve">Future studies should examine placental pathology with central, blinded review using current Amsterdam definitions, duplicate reading of a calibration subset, and recorded pathologist identity. Linking placental lesions to cord-blood markers of foetal inflammation and hypoxia, and to serial dermatological examinations during the first months of life, would distinguish maternal from foetal effects and capture both the occurrence and growth of IH. Prespecified analyses of MVM and AI interaction, and formal mediation analyses through preterm birth and foetal growth, would clarify whether combined placental injury contributes to IH. Modifiable upstream determinants of placental injury, such as maternal diet, environmental exposures, and hypertensive disorders, are a research priority, although evidence linking these exposures to IH through placental pathology is currently lacking.</w:t>
      </w:r>
    </w:p>
    <w:p>
      <w:pPr>
        <w:keepNext/>
        <w:spacing w:after="0" w:before="240" w:line="480"/>
      </w:pPr>
      <w:r>
        <w:rPr>
          <w:rFonts w:ascii="Times New Roman" w:cs="Times New Roman" w:eastAsia="Times New Roman" w:hAnsi="Times New Roman"/>
          <w:b/>
          <w:bCs/>
          <w:i w:val="false"/>
          <w:iCs w:val="false"/>
          <w:sz w:val="24"/>
          <w:szCs w:val="24"/>
        </w:rPr>
        <w:t xml:space="preserve">5. Conclusion</w:t>
      </w:r>
    </w:p>
    <w:p>
      <w:pPr>
        <w:spacing w:after="0" w:before="0" w:line="480"/>
        <w:ind w:firstLine="480"/>
      </w:pPr>
      <w:r>
        <w:rPr>
          <w:rFonts w:ascii="Times New Roman" w:cs="Times New Roman" w:eastAsia="Times New Roman" w:hAnsi="Times New Roman"/>
          <w:sz w:val="24"/>
          <w:szCs w:val="24"/>
        </w:rPr>
        <w:t xml:space="preserve">In this large prospective cohort, neither placental MVM nor AI was associated with IH after accounting for study site, although IH risk was higher when both were present. Variation in placental diagnosis across centres strongly influenced the estimates, underscoring the importance of accounting for centre and pathologist in multicentre placental research. Larger studies with centralised placental review are needed to determine whether combined placental injury contributes to IH.</w:t>
      </w:r>
    </w:p>
    <w:p>
      <w:pPr>
        <w:keepNext/>
        <w:spacing w:after="0" w:before="240" w:line="480"/>
      </w:pPr>
      <w:r>
        <w:rPr>
          <w:rFonts w:ascii="Times New Roman" w:cs="Times New Roman" w:eastAsia="Times New Roman" w:hAnsi="Times New Roman"/>
          <w:b/>
          <w:bCs/>
          <w:i w:val="false"/>
          <w:iCs w:val="false"/>
          <w:sz w:val="24"/>
          <w:szCs w:val="24"/>
        </w:rPr>
        <w:t xml:space="preserve">CRediT authorship contribution statement</w:t>
      </w:r>
    </w:p>
    <w:p>
      <w:pPr>
        <w:spacing w:after="0" w:before="0" w:line="480"/>
      </w:pPr>
      <w:r>
        <w:rPr>
          <w:rFonts w:ascii="Times New Roman" w:cs="Times New Roman" w:eastAsia="Times New Roman" w:hAnsi="Times New Roman"/>
          <w:sz w:val="24"/>
          <w:szCs w:val="24"/>
        </w:rPr>
        <w:t xml:space="preserve">Jessica J. Wong: Conceptualization, Methodology, Formal analysis, Data curation, Visualization, Funding acquisition, Writing – original draft. Sunni L. Mumford: Methodology, Writing – review &amp; editing. Alexa A. Freedman: Data curation, Methodology, Writing – review &amp; editing. Linda M. Ernst: Methodology, Writing – review &amp; editing. Yajnaseni Chakraborti: Data curation, Methodology, Writing – review &amp; editing. David J. Margolis: Conceptualization, Writing – review &amp; editing. Ellen C. Caniglia: Methodology, Writing – review &amp; editing. Enrique F. Schisterman: Methodology, Writing – review &amp; editing. Stefanie N. Hinkle: Conceptualization, Methodology, Supervision, Writing – review &amp; editing. Ellen C. Francis: Conceptualization, Methodology, Supervision, Writing – review &amp; editing.</w:t>
      </w:r>
    </w:p>
    <w:p>
      <w:pPr>
        <w:keepNext/>
        <w:spacing w:after="0" w:before="240" w:line="480"/>
      </w:pPr>
      <w:r>
        <w:rPr>
          <w:rFonts w:ascii="Times New Roman" w:cs="Times New Roman" w:eastAsia="Times New Roman" w:hAnsi="Times New Roman"/>
          <w:b/>
          <w:bCs/>
          <w:i w:val="false"/>
          <w:iCs w:val="false"/>
          <w:sz w:val="24"/>
          <w:szCs w:val="24"/>
        </w:rPr>
        <w:t xml:space="preserve">Declaration of competing interest</w:t>
      </w:r>
    </w:p>
    <w:p>
      <w:pPr>
        <w:spacing w:after="0" w:before="0" w:line="480"/>
      </w:pPr>
      <w:r>
        <w:rPr>
          <w:rFonts w:ascii="Times New Roman" w:cs="Times New Roman" w:eastAsia="Times New Roman" w:hAnsi="Times New Roman"/>
          <w:sz w:val="24"/>
          <w:szCs w:val="24"/>
        </w:rPr>
        <w:t xml:space="preserve">The authors declare that they have no known competing financial interests or personal relationships that could have appeared to influence the work reported in this paper.</w:t>
      </w:r>
    </w:p>
    <w:p>
      <w:pPr>
        <w:keepNext/>
        <w:spacing w:after="0" w:before="240" w:line="480"/>
      </w:pPr>
      <w:r>
        <w:rPr>
          <w:rFonts w:ascii="Times New Roman" w:cs="Times New Roman" w:eastAsia="Times New Roman" w:hAnsi="Times New Roman"/>
          <w:b/>
          <w:bCs/>
          <w:i w:val="false"/>
          <w:iCs w:val="false"/>
          <w:sz w:val="24"/>
          <w:szCs w:val="24"/>
        </w:rPr>
        <w:t xml:space="preserve">Funding</w:t>
      </w:r>
    </w:p>
    <w:p>
      <w:pPr>
        <w:spacing w:after="0" w:before="0" w:line="480"/>
      </w:pPr>
      <w:r>
        <w:rPr>
          <w:rFonts w:ascii="Times New Roman" w:cs="Times New Roman" w:eastAsia="Times New Roman" w:hAnsi="Times New Roman"/>
          <w:sz w:val="24"/>
          <w:szCs w:val="24"/>
        </w:rPr>
        <w:t xml:space="preserve">This work was supported by (1) the National Institute of Allergy and Infectious Diseases of the National Institutes of Health (F31AI198148, JJW) and (2) a National Research Grant from The Gerber Foundation (10105208, JJW). The funders had no role in the study design, collection, analysis or interpretation of data, writing of the report, or the decision to submit the article for publication.</w:t>
      </w:r>
    </w:p>
    <w:p>
      <w:pPr>
        <w:keepNext/>
        <w:spacing w:after="0" w:before="240" w:line="480"/>
      </w:pPr>
      <w:r>
        <w:rPr>
          <w:rFonts w:ascii="Times New Roman" w:cs="Times New Roman" w:eastAsia="Times New Roman" w:hAnsi="Times New Roman"/>
          <w:b/>
          <w:bCs/>
          <w:i w:val="false"/>
          <w:iCs w:val="false"/>
          <w:sz w:val="24"/>
          <w:szCs w:val="24"/>
        </w:rPr>
        <w:t xml:space="preserve">Acknowledgements</w:t>
      </w:r>
    </w:p>
    <w:p>
      <w:pPr>
        <w:spacing w:after="0" w:before="0" w:line="480"/>
      </w:pPr>
      <w:r>
        <w:rPr>
          <w:rFonts w:ascii="Times New Roman" w:cs="Times New Roman" w:eastAsia="Times New Roman" w:hAnsi="Times New Roman"/>
          <w:sz w:val="24"/>
          <w:szCs w:val="24"/>
        </w:rPr>
        <w:t xml:space="preserve">The authors thank the women and children who participated in the Collaborative Perinatal Project, the study staff at the 12 clinical centres, and the US National Archives and Records Administration for providing access to the study data (https://www.archives.gov/research/electronic-records/nih.html).</w:t>
      </w:r>
    </w:p>
    <w:p>
      <w:pPr>
        <w:keepNext/>
        <w:spacing w:after="0" w:before="240" w:line="480"/>
      </w:pPr>
      <w:r>
        <w:rPr>
          <w:rFonts w:ascii="Times New Roman" w:cs="Times New Roman" w:eastAsia="Times New Roman" w:hAnsi="Times New Roman"/>
          <w:b/>
          <w:bCs/>
          <w:i w:val="false"/>
          <w:iCs w:val="false"/>
          <w:sz w:val="24"/>
          <w:szCs w:val="24"/>
        </w:rPr>
        <w:t xml:space="preserve">Data availability</w:t>
      </w:r>
    </w:p>
    <w:p>
      <w:pPr>
        <w:spacing w:after="0" w:before="0" w:line="480"/>
      </w:pPr>
      <w:r>
        <w:rPr>
          <w:rFonts w:ascii="Times New Roman" w:cs="Times New Roman" w:eastAsia="Times New Roman" w:hAnsi="Times New Roman"/>
          <w:sz w:val="24"/>
          <w:szCs w:val="24"/>
        </w:rPr>
        <w:t xml:space="preserve">The Collaborative Perinatal Project data are publicly available through the US National Archives and Records Administration (Identifier: 606622). Analysis code is available from the corresponding author on request.</w:t>
      </w:r>
    </w:p>
    <w:p>
      <w:pPr>
        <w:keepNext/>
        <w:spacing w:after="0" w:before="240" w:line="480"/>
      </w:pPr>
      <w:r>
        <w:rPr>
          <w:rFonts w:ascii="Times New Roman" w:cs="Times New Roman" w:eastAsia="Times New Roman" w:hAnsi="Times New Roman"/>
          <w:b/>
          <w:bCs/>
          <w:i w:val="false"/>
          <w:iCs w:val="false"/>
          <w:sz w:val="24"/>
          <w:szCs w:val="24"/>
        </w:rPr>
        <w:t xml:space="preserve">Declaration of generative AI and AI-assisted technologies in the manuscript preparation process</w:t>
      </w:r>
    </w:p>
    <w:p>
      <w:pPr>
        <w:spacing w:after="0" w:before="0" w:line="480"/>
      </w:pPr>
      <w:r>
        <w:rPr>
          <w:rFonts w:ascii="Times New Roman" w:cs="Times New Roman" w:eastAsia="Times New Roman" w:hAnsi="Times New Roman"/>
          <w:sz w:val="24"/>
          <w:szCs w:val="24"/>
        </w:rPr>
        <w:t xml:space="preserve">During the preparation of this work the authors used Claude (Anthropic) to assist with statistical programming, checking of analyses, and drafting and language editing of the manuscript, and ChatGPT Deep Research (OpenAI) to assist with literature searching. After using these tools, the authors reviewed and edited the content as needed and take full responsibility for the content of the published article.</w:t>
      </w:r>
    </w:p>
    <w:p>
      <w:pPr>
        <w:keepNext/>
        <w:spacing w:after="0" w:before="240" w:line="480"/>
      </w:pPr>
      <w:r>
        <w:rPr>
          <w:rFonts w:ascii="Times New Roman" w:cs="Times New Roman" w:eastAsia="Times New Roman" w:hAnsi="Times New Roman"/>
          <w:b/>
          <w:bCs/>
          <w:i w:val="false"/>
          <w:iCs w:val="false"/>
          <w:sz w:val="24"/>
          <w:szCs w:val="24"/>
        </w:rPr>
        <w:t xml:space="preserve">References</w:t>
      </w:r>
    </w:p>
    <w:p>
      <w:pPr>
        <w:spacing w:after="0" w:before="0" w:line="360"/>
        <w:ind w:left="480" w:hanging="480"/>
      </w:pPr>
      <w:r>
        <w:rPr>
          <w:rFonts w:ascii="Times New Roman" w:cs="Times New Roman" w:eastAsia="Times New Roman" w:hAnsi="Times New Roman"/>
          <w:sz w:val="24"/>
          <w:szCs w:val="24"/>
        </w:rPr>
        <w:t xml:space="preserve">[1] Y. Sun, J. Zhao, Y. Meng, et al., The prevalence, complications, and risk factors for infantile hemangioma: a systematic review and meta-analysis, Int. J. Dermatol. 63 (2024) 737-746. https://doi.org/10.1111/ijd.17062</w:t>
      </w:r>
    </w:p>
    <w:p>
      <w:pPr>
        <w:spacing w:after="0" w:before="0" w:line="360"/>
        <w:ind w:left="480" w:hanging="480"/>
      </w:pPr>
      <w:r>
        <w:rPr>
          <w:rFonts w:ascii="Times New Roman" w:cs="Times New Roman" w:eastAsia="Times New Roman" w:hAnsi="Times New Roman"/>
          <w:sz w:val="24"/>
          <w:szCs w:val="24"/>
        </w:rPr>
        <w:t xml:space="preserve">[2] A. Holm, J.B. Mulliken, J. Bischoff, Infantile hemangioma: the common and enigmatic vascular tumor, J. Clin. Invest. 134 (2024) e172836. https://doi.org/10.1172/JCI172836</w:t>
      </w:r>
    </w:p>
    <w:p>
      <w:pPr>
        <w:spacing w:after="0" w:before="0" w:line="360"/>
        <w:ind w:left="480" w:hanging="480"/>
      </w:pPr>
      <w:r>
        <w:rPr>
          <w:rFonts w:ascii="Times New Roman" w:cs="Times New Roman" w:eastAsia="Times New Roman" w:hAnsi="Times New Roman"/>
          <w:sz w:val="24"/>
          <w:szCs w:val="24"/>
        </w:rPr>
        <w:t xml:space="preserve">[3] L.C. Chang, A.N. Haggstrom, B.A. Drolet, et al., Growth characteristics of infantile hemangiomas: implications for management, Pediatrics 122 (2008) 360-367. https://doi.org/10.1542/peds.2007-2767</w:t>
      </w:r>
    </w:p>
    <w:p>
      <w:pPr>
        <w:spacing w:after="0" w:before="0" w:line="360"/>
        <w:ind w:left="480" w:hanging="480"/>
      </w:pPr>
      <w:r>
        <w:rPr>
          <w:rFonts w:ascii="Times New Roman" w:cs="Times New Roman" w:eastAsia="Times New Roman" w:hAnsi="Times New Roman"/>
          <w:sz w:val="24"/>
          <w:szCs w:val="24"/>
        </w:rPr>
        <w:t xml:space="preserve">[4] C. Léauté-Labrèze, J.I. Harper, P.H. Hoeger, Infantile haemangioma, Lancet 390 (2017) 85-94. https://doi.org/10.1016/S0140-6736(16)00645-0</w:t>
      </w:r>
    </w:p>
    <w:p>
      <w:pPr>
        <w:spacing w:after="0" w:before="0" w:line="360"/>
        <w:ind w:left="480" w:hanging="480"/>
      </w:pPr>
      <w:r>
        <w:rPr>
          <w:rFonts w:ascii="Times New Roman" w:cs="Times New Roman" w:eastAsia="Times New Roman" w:hAnsi="Times New Roman"/>
          <w:sz w:val="24"/>
          <w:szCs w:val="24"/>
        </w:rPr>
        <w:t xml:space="preserve">[5] Y. Ding, J.Z. Zhang, S.R. Yu, F. Xiang, X.J. Kang, Risk factors for infantile hemangioma: a meta-analysis, World J. Pediatr. 16 (2020) 377-384. https://doi.org/10.1007/s12519-019-00327-2</w:t>
      </w:r>
    </w:p>
    <w:p>
      <w:pPr>
        <w:spacing w:after="0" w:before="0" w:line="360"/>
        <w:ind w:left="480" w:hanging="480"/>
      </w:pPr>
      <w:r>
        <w:rPr>
          <w:rFonts w:ascii="Times New Roman" w:cs="Times New Roman" w:eastAsia="Times New Roman" w:hAnsi="Times New Roman"/>
          <w:sz w:val="24"/>
          <w:szCs w:val="24"/>
        </w:rPr>
        <w:t xml:space="preserve">[6] A.N. Haggstrom, B.A. Drolet, E. Baselga, et al., Prospective study of infantile hemangiomas: demographic, prenatal, and perinatal characteristics, J. Pediatr. 150 (2007) 291-294. https://doi.org/10.1016/j.jpeds.2006.12.003</w:t>
      </w:r>
    </w:p>
    <w:p>
      <w:pPr>
        <w:spacing w:after="0" w:before="0" w:line="360"/>
        <w:ind w:left="480" w:hanging="480"/>
      </w:pPr>
      <w:r>
        <w:rPr>
          <w:rFonts w:ascii="Times New Roman" w:cs="Times New Roman" w:eastAsia="Times New Roman" w:hAnsi="Times New Roman"/>
          <w:sz w:val="24"/>
          <w:szCs w:val="24"/>
        </w:rPr>
        <w:t xml:space="preserve">[7] A. Munden, R. Butschek, W.L. Tom, et al., Prospective study of infantile haemangiomas: incidence, clinical characteristics and association with placental anomalies, Br. J. Dermatol. 170 (2014) 907-913. https://doi.org/10.1111/bjd.12804</w:t>
      </w:r>
    </w:p>
    <w:p>
      <w:pPr>
        <w:spacing w:after="0" w:before="0" w:line="360"/>
        <w:ind w:left="480" w:hanging="480"/>
      </w:pPr>
      <w:r>
        <w:rPr>
          <w:rFonts w:ascii="Times New Roman" w:cs="Times New Roman" w:eastAsia="Times New Roman" w:hAnsi="Times New Roman"/>
          <w:sz w:val="24"/>
          <w:szCs w:val="24"/>
        </w:rPr>
        <w:t xml:space="preserve">[8] J. Schoch, M. Hunjan, K. Anderson, et al., Temporal trends in prenatal risk factors for the development of infantile hemangiomas, Pediatr. Dermatol. 35 (2018) 787-791. https://doi.org/10.1111/pde.13659</w:t>
      </w:r>
    </w:p>
    <w:p>
      <w:pPr>
        <w:spacing w:after="0" w:before="0" w:line="360"/>
        <w:ind w:left="480" w:hanging="480"/>
      </w:pPr>
      <w:r>
        <w:rPr>
          <w:rFonts w:ascii="Times New Roman" w:cs="Times New Roman" w:eastAsia="Times New Roman" w:hAnsi="Times New Roman"/>
          <w:sz w:val="24"/>
          <w:szCs w:val="24"/>
        </w:rPr>
        <w:t xml:space="preserve">[9] P.E. North, M. Waner, A. Mizeracki, et al., A unique microvascular phenotype shared by juvenile hemangiomas and human placenta, Arch. Dermatol. 137 (2001) 559-570. https://doi.org/10.1001/archderm.137.5.559</w:t>
      </w:r>
    </w:p>
    <w:p>
      <w:pPr>
        <w:spacing w:after="0" w:before="0" w:line="360"/>
        <w:ind w:left="480" w:hanging="480"/>
      </w:pPr>
      <w:r>
        <w:rPr>
          <w:rFonts w:ascii="Times New Roman" w:cs="Times New Roman" w:eastAsia="Times New Roman" w:hAnsi="Times New Roman"/>
          <w:sz w:val="24"/>
          <w:szCs w:val="24"/>
        </w:rPr>
        <w:t xml:space="preserve">[10] C.M. Barnés, S. Huang, A. Kaipainen, et al., Evidence by molecular profiling for a placental origin of infantile hemangioma, Proc. Natl. Acad. Sci. U. S. A. 102 (2005) 19097-19102. https://doi.org/10.1073/pnas.0509579102</w:t>
      </w:r>
    </w:p>
    <w:p>
      <w:pPr>
        <w:spacing w:after="0" w:before="0" w:line="360"/>
        <w:ind w:left="480" w:hanging="480"/>
      </w:pPr>
      <w:r>
        <w:rPr>
          <w:rFonts w:ascii="Times New Roman" w:cs="Times New Roman" w:eastAsia="Times New Roman" w:hAnsi="Times New Roman"/>
          <w:sz w:val="24"/>
          <w:szCs w:val="24"/>
        </w:rPr>
        <w:t xml:space="preserve">[11] M.E. Kleinman, M.R. Greives, S.S. Churgin, et al., Hypoxia-induced mediators of stem/progenitor cell trafficking are increased in children with hemangioma, Arterioscler. Thromb. Vasc. Biol. 27 (2007) 2664-2670. https://doi.org/10.1161/ATVBAHA.107.150284</w:t>
      </w:r>
    </w:p>
    <w:p>
      <w:pPr>
        <w:spacing w:after="0" w:before="0" w:line="360"/>
        <w:ind w:left="480" w:hanging="480"/>
      </w:pPr>
      <w:r>
        <w:rPr>
          <w:rFonts w:ascii="Times New Roman" w:cs="Times New Roman" w:eastAsia="Times New Roman" w:hAnsi="Times New Roman"/>
          <w:sz w:val="24"/>
          <w:szCs w:val="24"/>
        </w:rPr>
        <w:t xml:space="preserve">[12] S. Harbi, R. Wang, M. Gregory, et al., Infantile hemangioma originates from a dysregulated but not fully transformed multipotent stem cell, Sci. Rep. 6 (2016) 35811. https://doi.org/10.1038/srep35811</w:t>
      </w:r>
    </w:p>
    <w:p>
      <w:pPr>
        <w:spacing w:after="0" w:before="0" w:line="360"/>
        <w:ind w:left="480" w:hanging="480"/>
      </w:pPr>
      <w:r>
        <w:rPr>
          <w:rFonts w:ascii="Times New Roman" w:cs="Times New Roman" w:eastAsia="Times New Roman" w:hAnsi="Times New Roman"/>
          <w:sz w:val="24"/>
          <w:szCs w:val="24"/>
        </w:rPr>
        <w:t xml:space="preserve">[13] V. Colonna, L. Resta, A. Napoli, E. Bonifazi, Placental hypoxia and neonatal haemangioma: clinical and histological observations, Br. J. Dermatol. 162 (2010) 208-209. https://doi.org/10.1111/j.1365-2133.2009.09493.x</w:t>
      </w:r>
    </w:p>
    <w:p>
      <w:pPr>
        <w:spacing w:after="0" w:before="0" w:line="360"/>
        <w:ind w:left="480" w:hanging="480"/>
      </w:pPr>
      <w:r>
        <w:rPr>
          <w:rFonts w:ascii="Times New Roman" w:cs="Times New Roman" w:eastAsia="Times New Roman" w:hAnsi="Times New Roman"/>
          <w:sz w:val="24"/>
          <w:szCs w:val="24"/>
        </w:rPr>
        <w:t xml:space="preserve">[14] B.A. Drolet, I.J. Frieden, Characteristics of infantile hemangiomas as clues to pathogenesis: does hypoxia connect the dots?, Arch. Dermatol. 146 (2010) 1295-1299. https://doi.org/10.1001/archdermatol.2010.1295</w:t>
      </w:r>
    </w:p>
    <w:p>
      <w:pPr>
        <w:spacing w:after="0" w:before="0" w:line="360"/>
        <w:ind w:left="480" w:hanging="480"/>
      </w:pPr>
      <w:r>
        <w:rPr>
          <w:rFonts w:ascii="Times New Roman" w:cs="Times New Roman" w:eastAsia="Times New Roman" w:hAnsi="Times New Roman"/>
          <w:sz w:val="24"/>
          <w:szCs w:val="24"/>
        </w:rPr>
        <w:t xml:space="preserve">[15] T.Y. Khong, E.E. Mooney, I. Ariel, et al., Sampling and definitions of placental lesions: Amsterdam Placental Workshop Group consensus statement, Arch. Pathol. Lab. Med. 140 (2016) 698-713. https://doi.org/10.5858/arpa.2015-0225-CC</w:t>
      </w:r>
    </w:p>
    <w:p>
      <w:pPr>
        <w:spacing w:after="0" w:before="0" w:line="360"/>
        <w:ind w:left="480" w:hanging="480"/>
      </w:pPr>
      <w:r>
        <w:rPr>
          <w:rFonts w:ascii="Times New Roman" w:cs="Times New Roman" w:eastAsia="Times New Roman" w:hAnsi="Times New Roman"/>
          <w:sz w:val="24"/>
          <w:szCs w:val="24"/>
        </w:rPr>
        <w:t xml:space="preserve">[16] R.W. Redline, S. Ravishankar, C.M. Bagby, S.T. Saab, S. Zarei, Four major patterns of placental injury: a stepwise guide for understanding and implementing the 2016 Amsterdam consensus, Mod. Pathol. 34 (2021) 1074-1092. https://doi.org/10.1038/s41379-021-00747-4</w:t>
      </w:r>
    </w:p>
    <w:p>
      <w:pPr>
        <w:spacing w:after="0" w:before="0" w:line="360"/>
        <w:ind w:left="480" w:hanging="480"/>
      </w:pPr>
      <w:r>
        <w:rPr>
          <w:rFonts w:ascii="Times New Roman" w:cs="Times New Roman" w:eastAsia="Times New Roman" w:hAnsi="Times New Roman"/>
          <w:sz w:val="24"/>
          <w:szCs w:val="24"/>
        </w:rPr>
        <w:t xml:space="preserve">[17] J.A. Goldstein, K. Gallagher, C. Beck, R. Kumar, A.D. Gernand, Maternal-fetal inflammation in the placenta and the developmental origins of health and disease, Front. Immunol. 11 (2020) 531543. https://doi.org/10.3389/fimmu.2020.531543</w:t>
      </w:r>
    </w:p>
    <w:p>
      <w:pPr>
        <w:spacing w:after="0" w:before="0" w:line="360"/>
        <w:ind w:left="480" w:hanging="480"/>
      </w:pPr>
      <w:r>
        <w:rPr>
          <w:rFonts w:ascii="Times New Roman" w:cs="Times New Roman" w:eastAsia="Times New Roman" w:hAnsi="Times New Roman"/>
          <w:sz w:val="24"/>
          <w:szCs w:val="24"/>
        </w:rPr>
        <w:t xml:space="preserve">[18] J.C. López Gutiérrez, L.F. Avila, G. Sosa, M. Patron, Placental anomalies in children with infantile hemangioma, Pediatr. Dermatol. 24 (2007) 353-355. https://doi.org/10.1111/j.1525-1470.2007.00450.x</w:t>
      </w:r>
    </w:p>
    <w:p>
      <w:pPr>
        <w:spacing w:after="0" w:before="0" w:line="360"/>
        <w:ind w:left="480" w:hanging="480"/>
      </w:pPr>
      <w:r>
        <w:rPr>
          <w:rFonts w:ascii="Times New Roman" w:cs="Times New Roman" w:eastAsia="Times New Roman" w:hAnsi="Times New Roman"/>
          <w:sz w:val="24"/>
          <w:szCs w:val="24"/>
        </w:rPr>
        <w:t xml:space="preserve">[19] M. Sirotkina, K. Douroudis, C.F. Wahlgren, M. Westgren, N. Papadogiannakis, Exploring the association between chorangioma and infantile haemangioma in singleton and multiple pregnancies: a case-control study in a Swedish tertiary centre, BMJ Open 7 (2017) e015539. https://doi.org/10.1136/bmjopen-2016-015539</w:t>
      </w:r>
    </w:p>
    <w:p>
      <w:pPr>
        <w:spacing w:after="0" w:before="0" w:line="360"/>
        <w:ind w:left="480" w:hanging="480"/>
      </w:pPr>
      <w:r>
        <w:rPr>
          <w:rFonts w:ascii="Times New Roman" w:cs="Times New Roman" w:eastAsia="Times New Roman" w:hAnsi="Times New Roman"/>
          <w:sz w:val="24"/>
          <w:szCs w:val="24"/>
        </w:rPr>
        <w:t xml:space="preserve">[20] R.W. Redline, O. Faye-Petersen, D. Heller, et al., Amniotic infection syndrome: nosology and reproducibility of placental reaction patterns, Pediatr. Dev. Pathol. 6 (2003) 435-448. https://doi.org/10.1007/s10024-003-7070-y</w:t>
      </w:r>
    </w:p>
    <w:p>
      <w:pPr>
        <w:spacing w:after="0" w:before="0" w:line="360"/>
        <w:ind w:left="480" w:hanging="480"/>
      </w:pPr>
      <w:r>
        <w:rPr>
          <w:rFonts w:ascii="Times New Roman" w:cs="Times New Roman" w:eastAsia="Times New Roman" w:hAnsi="Times New Roman"/>
          <w:sz w:val="24"/>
          <w:szCs w:val="24"/>
        </w:rPr>
        <w:t xml:space="preserve">[21] M.L. Rocha, T. Menter, S. Zekic Tomas, et al., Reproducibility of the Amsterdam consensus criteria for maternal vascular malperfusion (MVM): a multicenter evaluation of perinatal pathologists, J. Perinat. Med. 54 (2026) 811-815. https://doi.org/10.1515/jpm-2025-0518</w:t>
      </w:r>
    </w:p>
    <w:p>
      <w:pPr>
        <w:spacing w:after="0" w:before="0" w:line="360"/>
        <w:ind w:left="480" w:hanging="480"/>
      </w:pPr>
      <w:r>
        <w:rPr>
          <w:rFonts w:ascii="Times New Roman" w:cs="Times New Roman" w:eastAsia="Times New Roman" w:hAnsi="Times New Roman"/>
          <w:sz w:val="24"/>
          <w:szCs w:val="24"/>
        </w:rPr>
        <w:t xml:space="preserve">[22] A.A. Freedman, et al., Adverse pregnancy outcomes following the assassination of John F. Kennedy in 1963, Matern. Child Health J. (2021). https://doi.org/10.1007/s10995-021-03139-x [FLAG: add co-authors, volume, and pages]</w:t>
      </w:r>
    </w:p>
    <w:p>
      <w:pPr>
        <w:spacing w:after="0" w:before="0" w:line="360"/>
        <w:ind w:left="480" w:hanging="480"/>
      </w:pPr>
      <w:r>
        <w:rPr>
          <w:rFonts w:ascii="Times New Roman" w:cs="Times New Roman" w:eastAsia="Times New Roman" w:hAnsi="Times New Roman"/>
          <w:sz w:val="24"/>
          <w:szCs w:val="24"/>
        </w:rPr>
        <w:t xml:space="preserve">[23] J.B. Hardy, The Collaborative Perinatal Project: lessons and legacy, Ann. Epidemiol. 13 (2003) 303-311. https://doi.org/10.1016/s1047-2797(02)00479-9</w:t>
      </w:r>
    </w:p>
    <w:p>
      <w:pPr>
        <w:spacing w:after="0" w:before="0" w:line="360"/>
        <w:ind w:left="480" w:hanging="480"/>
      </w:pPr>
      <w:r>
        <w:rPr>
          <w:rFonts w:ascii="Times New Roman" w:cs="Times New Roman" w:eastAsia="Times New Roman" w:hAnsi="Times New Roman"/>
          <w:sz w:val="24"/>
          <w:szCs w:val="24"/>
        </w:rPr>
        <w:t xml:space="preserve">[24] M.A. Klebanoff, The Collaborative Perinatal Project: a 50-year retrospective, Paediatr. Perinat. Epidemiol. 23 (2009) 2-8. https://doi.org/10.1111/j.1365-3016.2008.00984.x</w:t>
      </w:r>
    </w:p>
    <w:p>
      <w:pPr>
        <w:spacing w:after="0" w:before="0" w:line="360"/>
        <w:ind w:left="480" w:hanging="480"/>
      </w:pPr>
      <w:r>
        <w:rPr>
          <w:rFonts w:ascii="Times New Roman" w:cs="Times New Roman" w:eastAsia="Times New Roman" w:hAnsi="Times New Roman"/>
          <w:sz w:val="24"/>
          <w:szCs w:val="24"/>
        </w:rPr>
        <w:t xml:space="preserve">[25] A.A. Freedman, G.E. Miller, A.D. Franklin, et al., Placental pathology and blood pressure at age 7: a longitudinal discordant twin analysis, Arterioscler. Thromb. Vasc. Biol. 45 (2025) 312-322. https://doi.org/10.1161/ATVBAHA.124.321666</w:t>
      </w:r>
    </w:p>
    <w:p>
      <w:pPr>
        <w:spacing w:after="0" w:before="0" w:line="360"/>
        <w:ind w:left="480" w:hanging="480"/>
      </w:pPr>
      <w:r>
        <w:rPr>
          <w:rFonts w:ascii="Times New Roman" w:cs="Times New Roman" w:eastAsia="Times New Roman" w:hAnsi="Times New Roman"/>
          <w:sz w:val="24"/>
          <w:szCs w:val="24"/>
        </w:rPr>
        <w:t xml:space="preserve">[26] E.F. Schisterman, S.R. Cole, R.W. Platt, Overadjustment bias and unnecessary adjustment in epidemiologic studies, Epidemiology 20 (2009) 488-495. https://doi.org/10.1097/EDE.0b013e3181a819a1</w:t>
      </w:r>
    </w:p>
    <w:p>
      <w:pPr>
        <w:spacing w:after="0" w:before="0" w:line="360"/>
        <w:ind w:left="480" w:hanging="480"/>
      </w:pPr>
      <w:r>
        <w:rPr>
          <w:rFonts w:ascii="Times New Roman" w:cs="Times New Roman" w:eastAsia="Times New Roman" w:hAnsi="Times New Roman"/>
          <w:sz w:val="24"/>
          <w:szCs w:val="24"/>
        </w:rPr>
        <w:t xml:space="preserve">[27] S. van Buuren, K. Groothuis-Oudshoorn, mice: multivariate imputation by chained equations in R, J. Stat. Softw. 45 (2011) 1-67. https://doi.org/10.18637/jss.v045.i03</w:t>
      </w:r>
    </w:p>
    <w:p>
      <w:pPr>
        <w:spacing w:after="0" w:before="0" w:line="360"/>
        <w:ind w:left="480" w:hanging="480"/>
      </w:pPr>
      <w:r>
        <w:rPr>
          <w:rFonts w:ascii="Times New Roman" w:cs="Times New Roman" w:eastAsia="Times New Roman" w:hAnsi="Times New Roman"/>
          <w:sz w:val="24"/>
          <w:szCs w:val="24"/>
        </w:rPr>
        <w:t xml:space="preserve">[28] D.B. Rubin, Multiple Imputation for Nonresponse in Surveys, John Wiley &amp; Sons, New York, 1987.</w:t>
      </w:r>
    </w:p>
    <w:p>
      <w:pPr>
        <w:spacing w:after="0" w:before="0" w:line="360"/>
        <w:ind w:left="480" w:hanging="480"/>
      </w:pPr>
      <w:r>
        <w:rPr>
          <w:rFonts w:ascii="Times New Roman" w:cs="Times New Roman" w:eastAsia="Times New Roman" w:hAnsi="Times New Roman"/>
          <w:sz w:val="24"/>
          <w:szCs w:val="24"/>
        </w:rPr>
        <w:t xml:space="preserve">[29] M.A. Hernán, S. Hernández-Díaz, J.M. Robins, A structural approach to selection bias, Epidemiology 15 (2004) 615-625. https://doi.org/10.1097/01.ede.0000135174.63482.43</w:t>
      </w:r>
    </w:p>
    <w:p>
      <w:pPr>
        <w:spacing w:after="0" w:before="0" w:line="360"/>
        <w:ind w:left="480" w:hanging="480"/>
      </w:pPr>
      <w:r>
        <w:rPr>
          <w:rFonts w:ascii="Times New Roman" w:cs="Times New Roman" w:eastAsia="Times New Roman" w:hAnsi="Times New Roman"/>
          <w:sz w:val="24"/>
          <w:szCs w:val="24"/>
        </w:rPr>
        <w:t xml:space="preserve">[30] S.R. Cole, M.A. Hernán, Constructing inverse probability weights for marginal structural models, Am. J. Epidemiol. 168 (2008) 656-664. https://doi.org/10.1093/aje/kwn164</w:t>
      </w:r>
    </w:p>
    <w:p>
      <w:pPr>
        <w:spacing w:after="0" w:before="0" w:line="360"/>
        <w:ind w:left="480" w:hanging="480"/>
      </w:pPr>
      <w:r>
        <w:rPr>
          <w:rFonts w:ascii="Times New Roman" w:cs="Times New Roman" w:eastAsia="Times New Roman" w:hAnsi="Times New Roman"/>
          <w:sz w:val="24"/>
          <w:szCs w:val="24"/>
        </w:rPr>
        <w:t xml:space="preserve">[31] G. Zou, A modified Poisson regression approach to prospective studies with binary data, Am. J. Epidemiol. 159 (2004) 702-706. https://doi.org/10.1093/aje/kwh090</w:t>
      </w:r>
    </w:p>
    <w:p>
      <w:pPr>
        <w:spacing w:after="0" w:before="0" w:line="360"/>
        <w:ind w:left="480" w:hanging="480"/>
      </w:pPr>
      <w:r>
        <w:rPr>
          <w:rFonts w:ascii="Times New Roman" w:cs="Times New Roman" w:eastAsia="Times New Roman" w:hAnsi="Times New Roman"/>
          <w:sz w:val="24"/>
          <w:szCs w:val="24"/>
        </w:rPr>
        <w:t xml:space="preserve">[32] M. Desai, M.D. Begg, A comparison of regression approaches for analyzing clustered data, Am. J. Public Health 98 (2008) 1425-1429. https://doi.org/10.2105/AJPH.2006.108233</w:t>
      </w:r>
    </w:p>
    <w:p>
      <w:pPr>
        <w:spacing w:after="0" w:before="0" w:line="360"/>
        <w:ind w:left="480" w:hanging="480"/>
      </w:pPr>
      <w:r>
        <w:rPr>
          <w:rFonts w:ascii="Times New Roman" w:cs="Times New Roman" w:eastAsia="Times New Roman" w:hAnsi="Times New Roman"/>
          <w:sz w:val="24"/>
          <w:szCs w:val="24"/>
        </w:rPr>
        <w:t xml:space="preserve">[33] M.J. Knol, T.J. VanderWeele, Recommendations for presenting analyses of effect modification and interaction, Int. J. Epidemiol. 41 (2012) 514-520. https://doi.org/10.1093/ije/dyr218</w:t>
      </w:r>
    </w:p>
    <w:p>
      <w:pPr>
        <w:spacing w:after="0" w:before="0" w:line="360"/>
        <w:ind w:left="480" w:hanging="480"/>
      </w:pPr>
      <w:r>
        <w:rPr>
          <w:rFonts w:ascii="Times New Roman" w:cs="Times New Roman" w:eastAsia="Times New Roman" w:hAnsi="Times New Roman"/>
          <w:sz w:val="24"/>
          <w:szCs w:val="24"/>
        </w:rPr>
        <w:t xml:space="preserve">[34] D.W. Hosmer, S. Lemeshow, Confidence interval estimation of interaction, Epidemiology 3 (1992) 452-456. https://doi.org/10.1097/00001648-199209000-00012</w:t>
      </w:r>
    </w:p>
    <w:p>
      <w:pPr>
        <w:spacing w:after="0" w:before="0" w:line="360"/>
        <w:ind w:left="480" w:hanging="480"/>
      </w:pPr>
      <w:r>
        <w:rPr>
          <w:rFonts w:ascii="Times New Roman" w:cs="Times New Roman" w:eastAsia="Times New Roman" w:hAnsi="Times New Roman"/>
          <w:sz w:val="24"/>
          <w:szCs w:val="24"/>
        </w:rPr>
        <w:t xml:space="preserve">[35] F. Gotsch, R. Romero, J.P. Kusanovic, et al., The fetal inflammatory response syndrome, Clin. Obstet. Gynecol. 50 (2007) 652-683. https://doi.org/10.1097/GRF.0b013e31811ebef6</w:t>
      </w:r>
    </w:p>
    <w:p>
      <w:pPr>
        <w:spacing w:after="0" w:before="0" w:line="360"/>
        <w:ind w:left="480" w:hanging="480"/>
      </w:pPr>
      <w:r>
        <w:rPr>
          <w:rFonts w:ascii="Times New Roman" w:cs="Times New Roman" w:eastAsia="Times New Roman" w:hAnsi="Times New Roman"/>
          <w:sz w:val="24"/>
          <w:szCs w:val="24"/>
        </w:rPr>
        <w:t xml:space="preserve">[36] J.J. Wong, Y. Chakraborti, E.C. Caniglia, et al., Association between hypertensive disorders of pregnancy and infantile vascular anomalies in the Collaborative Perinatal Project, AJE Adv. 2 (2026) uuag016. https://doi.org/10.1093/ajeadv/uuag016</w:t>
      </w:r>
    </w:p>
    <w:p>
      <w:pPr>
        <w:spacing w:after="0" w:before="0" w:line="360"/>
        <w:ind w:left="480" w:hanging="480"/>
      </w:pPr>
      <w:r>
        <w:rPr>
          <w:rFonts w:ascii="Times New Roman" w:cs="Times New Roman" w:eastAsia="Times New Roman" w:hAnsi="Times New Roman"/>
          <w:sz w:val="24"/>
          <w:szCs w:val="24"/>
        </w:rPr>
        <w:t xml:space="preserve">[37] A.A. Freedman, et al., Patterns of placental pathology associated with preeclampsia, Placenta (2023). PMID: 37336159 [FLAG: add co-authors, volume, pages, and DOI]</w:t>
      </w:r>
    </w:p>
    <w:p>
      <w:pPr>
        <w:spacing w:after="0" w:before="0" w:line="360"/>
        <w:ind w:left="480" w:hanging="480"/>
      </w:pPr>
      <w:r>
        <w:rPr>
          <w:rFonts w:ascii="Times New Roman" w:cs="Times New Roman" w:eastAsia="Times New Roman" w:hAnsi="Times New Roman"/>
          <w:sz w:val="24"/>
          <w:szCs w:val="24"/>
        </w:rPr>
        <w:t xml:space="preserve">[38] N. Auger, W.D. Fraser, L. Arbour, et al., Pre-eclampsia and risk of infantile haemangioma, Br. J. Dermatol. 176 (2017) 371-377. https://doi.org/10.1111/bjd.14958</w:t>
      </w:r>
    </w:p>
    <w:p>
      <w:pPr>
        <w:spacing w:after="0" w:before="0" w:line="360"/>
        <w:ind w:left="480" w:hanging="480"/>
      </w:pPr>
      <w:r>
        <w:rPr>
          <w:rFonts w:ascii="Times New Roman" w:cs="Times New Roman" w:eastAsia="Times New Roman" w:hAnsi="Times New Roman"/>
          <w:sz w:val="24"/>
          <w:szCs w:val="24"/>
        </w:rPr>
        <w:t xml:space="preserve">[39] K.M. Pittman, H.W. Losken, M.E. Kleinman, et al., No evidence for maternal-fetal microchimerism in infantile hemangioma: a molecular genetic investigation, J. Invest. Dermatol. 126 (2006) 2533-2538. https://doi.org/10.1038/sj.jid.5700516</w:t>
      </w:r>
    </w:p>
    <w:p>
      <w:pPr>
        <w:spacing w:after="0" w:before="0" w:line="360"/>
        <w:ind w:left="480" w:hanging="480"/>
      </w:pPr>
      <w:r>
        <w:rPr>
          <w:rFonts w:ascii="Times New Roman" w:cs="Times New Roman" w:eastAsia="Times New Roman" w:hAnsi="Times New Roman"/>
          <w:sz w:val="24"/>
          <w:szCs w:val="24"/>
        </w:rPr>
        <w:t xml:space="preserve">[40] E. Villamor-Martinez, et al., Chorioamnionitis as a risk factor for retinopathy of prematurity: an updated systematic review and meta-analysis, PLoS One 13 (2018) e0205838. https://doi.org/10.1371/journal.pone.0205838 [FLAG: add co-authors]</w:t>
      </w:r>
    </w:p>
    <w:p>
      <w:pPr>
        <w:spacing w:after="0" w:before="0" w:line="360"/>
        <w:ind w:left="480" w:hanging="480"/>
      </w:pPr>
      <w:r>
        <w:rPr>
          <w:rFonts w:ascii="Times New Roman" w:cs="Times New Roman" w:eastAsia="Times New Roman" w:hAnsi="Times New Roman"/>
          <w:sz w:val="24"/>
          <w:szCs w:val="24"/>
        </w:rPr>
        <w:t xml:space="preserve">[41] Z.C. Chiesa Fuxench, N. Mitra, J. Wong, O. Hoffstad, S. Hinkle, D.J. Margolis, Maternal history of angioma is associated with infantile hemangioma and port-wine stain in children: a population-based, cohort study of mother-child pairs from the United Kingdom, Arch. Dermatol. Res. 316 (2024) 506. https://doi.org/10.1007/s00403-024-03247-y</w:t>
      </w:r>
    </w:p>
    <w:p>
      <w:r>
        <w:br w:type="page"/>
      </w:r>
    </w:p>
    <w:p>
      <w:pPr>
        <w:keepNext/>
        <w:spacing w:after="0" w:before="240" w:line="480"/>
      </w:pPr>
      <w:r>
        <w:rPr>
          <w:rFonts w:ascii="Times New Roman" w:cs="Times New Roman" w:eastAsia="Times New Roman" w:hAnsi="Times New Roman"/>
          <w:b/>
          <w:bCs/>
          <w:i w:val="false"/>
          <w:iCs w:val="false"/>
          <w:sz w:val="24"/>
          <w:szCs w:val="24"/>
        </w:rPr>
        <w:t xml:space="preserve">Figure legend</w:t>
      </w:r>
    </w:p>
    <w:p>
      <w:pPr>
        <w:spacing w:after="0" w:before="0" w:line="480"/>
      </w:pPr>
      <w:r>
        <w:rPr>
          <w:rFonts w:ascii="Times New Roman" w:cs="Times New Roman" w:eastAsia="Times New Roman" w:hAnsi="Times New Roman"/>
          <w:b/>
          <w:bCs/>
          <w:sz w:val="24"/>
          <w:szCs w:val="24"/>
        </w:rPr>
        <w:t xml:space="preserve">Fig. 1. </w:t>
      </w:r>
      <w:r>
        <w:rPr>
          <w:rFonts w:ascii="Times New Roman" w:cs="Times New Roman" w:eastAsia="Times New Roman" w:hAnsi="Times New Roman"/>
          <w:sz w:val="24"/>
          <w:szCs w:val="24"/>
        </w:rPr>
        <w:t xml:space="preserve">Flow of participants in the Collaborative Perinatal Project. AI, acute inflammation. IH, infantile haemangioma. MVM, maternal vascular malperfusion.</w:t>
      </w:r>
    </w:p>
    <w:p>
      <w:pPr>
        <w:sectPr>
          <w:footerReference w:type="default" r:id="rId6"/>
          <w:pgSz w:w="12240" w:h="15840" w:orient="portrait"/>
          <w:pgMar w:top="1440" w:right="1440" w:bottom="1440" w:left="1440" w:header="708" w:footer="708" w:gutter="0"/>
          <w:lnNumType w:countBy="1" w:restart="continuous"/>
          <w:pgNumType/>
          <w:docGrid w:linePitch="360"/>
        </w:sectPr>
      </w:pPr>
    </w:p>
    <w:p>
      <w:pPr>
        <w:keepNext/>
        <w:spacing w:after="120" w:before="0" w:line="276"/>
      </w:pPr>
      <w:r>
        <w:rPr>
          <w:rFonts w:ascii="Times New Roman" w:cs="Times New Roman" w:eastAsia="Times New Roman" w:hAnsi="Times New Roman"/>
          <w:b/>
          <w:bCs/>
          <w:sz w:val="20"/>
          <w:szCs w:val="20"/>
        </w:rPr>
        <w:t xml:space="preserve">Table 1. </w:t>
      </w:r>
      <w:r>
        <w:rPr>
          <w:rFonts w:ascii="Times New Roman" w:cs="Times New Roman" w:eastAsia="Times New Roman" w:hAnsi="Times New Roman"/>
          <w:sz w:val="20"/>
          <w:szCs w:val="20"/>
        </w:rPr>
        <w:t xml:space="preserve">Characteristics of 45,268 singleton pregnancies in the Collaborative Perinatal Project, overall and by placental maternal vascular malperfusion (MVM) and acute inflammation (AI).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60"/>
        <w:gridCol w:w="1280"/>
        <w:gridCol w:w="1280"/>
        <w:gridCol w:w="1280"/>
        <w:gridCol w:w="1280"/>
        <w:gridCol w:w="1280"/>
      </w:tblGrid>
      <w:tr>
        <w:trPr>
          <w:tblHeader/>
        </w:trPr>
        <w:tc>
          <w:tcPr>
            <w:tcW w:type="dxa" w:w="2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Characteristic</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Overall</w:t>
            </w:r>
          </w:p>
          <w:p>
            <w:pPr>
              <w:spacing w:line="240"/>
              <w:jc w:val="center"/>
            </w:pPr>
            <w:r>
              <w:rPr>
                <w:rFonts w:ascii="Times New Roman" w:cs="Times New Roman" w:eastAsia="Times New Roman" w:hAnsi="Times New Roman"/>
                <w:b/>
                <w:bCs/>
                <w:sz w:val="16"/>
                <w:szCs w:val="16"/>
              </w:rPr>
              <w:t xml:space="preserve">n = 45,268</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MVM</w:t>
            </w:r>
          </w:p>
          <w:p>
            <w:pPr>
              <w:spacing w:line="240"/>
              <w:jc w:val="center"/>
            </w:pPr>
            <w:r>
              <w:rPr>
                <w:rFonts w:ascii="Times New Roman" w:cs="Times New Roman" w:eastAsia="Times New Roman" w:hAnsi="Times New Roman"/>
                <w:b/>
                <w:bCs/>
                <w:sz w:val="16"/>
                <w:szCs w:val="16"/>
              </w:rPr>
              <w:t xml:space="preserve">n = 32,149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MVM</w:t>
            </w:r>
          </w:p>
          <w:p>
            <w:pPr>
              <w:spacing w:line="240"/>
              <w:jc w:val="center"/>
            </w:pPr>
            <w:r>
              <w:rPr>
                <w:rFonts w:ascii="Times New Roman" w:cs="Times New Roman" w:eastAsia="Times New Roman" w:hAnsi="Times New Roman"/>
                <w:b/>
                <w:bCs/>
                <w:sz w:val="16"/>
                <w:szCs w:val="16"/>
              </w:rPr>
              <w:t xml:space="preserve">n = 13,119</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No AI</w:t>
            </w:r>
          </w:p>
          <w:p>
            <w:pPr>
              <w:spacing w:line="240"/>
              <w:jc w:val="center"/>
            </w:pPr>
            <w:r>
              <w:rPr>
                <w:rFonts w:ascii="Times New Roman" w:cs="Times New Roman" w:eastAsia="Times New Roman" w:hAnsi="Times New Roman"/>
                <w:b/>
                <w:bCs/>
                <w:sz w:val="16"/>
                <w:szCs w:val="16"/>
              </w:rPr>
              <w:t xml:space="preserve">n = 35,080</w:t>
            </w:r>
          </w:p>
        </w:tc>
        <w:tc>
          <w:tcPr>
            <w:tcW w:type="dxa" w:w="12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Any AI</w:t>
            </w:r>
          </w:p>
          <w:p>
            <w:pPr>
              <w:spacing w:line="240"/>
              <w:jc w:val="center"/>
            </w:pPr>
            <w:r>
              <w:rPr>
                <w:rFonts w:ascii="Times New Roman" w:cs="Times New Roman" w:eastAsia="Times New Roman" w:hAnsi="Times New Roman"/>
                <w:b/>
                <w:bCs/>
                <w:sz w:val="16"/>
                <w:szCs w:val="16"/>
              </w:rPr>
              <w:t xml:space="preserve">n = 10,188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Maternal age, years,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24.2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24.1 (5.9)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(6.1)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Pre-pregnancy BMI, kg/m&lt;c2&gt;&lt;b2&gt;,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22.7 (4.2)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(4.5)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Race and ethnicity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White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48.2% (21,811)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47.8% (15,355)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49.2% (6,456)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47.0% (16,486)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52.3% (5,325)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Black</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(19,827)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43.8% (14,074)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43.9% (5,753)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44.4% (15,581)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(4,246)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Puerto Rican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7.0% (3,167)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6.0% (793)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7.6% (2,662)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 (505)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Other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(346)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0.9% (117)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 (351)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 (112)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Education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Less than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17.3% (7,712)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19.7% (2,541)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17.1% (5,931)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(1,781)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high school</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39.6% (17,671)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(12,611)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39.3% (5,060)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39.7% (13,758)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 (3,913)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High school graduate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(13,672)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31.1% (9,888)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29.4% (3,784)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 (10,616)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(3,056)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Some college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(5,571)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(4,088)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(4,312)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12.6% (1,259)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Family income, per year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$1,999 or less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(100)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0.3% (33)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$2,000 to $3,999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13.8% (5,865)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(4,043)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14.9% (1,822)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12.9% (1,225)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$4,000 to $5,999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(18,219)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43.0% (12,996)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42.8% (5,223)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43.3% (14,250)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41.7% (3,969)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$6,000 to $7,999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24.6% (10,435)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 (7,451)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24.5% (2,984)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24.3% (7,985)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25.7% (2,450)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$8,000 to $9,999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11.3% (4,800)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(3,485)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(1,315)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(3,641)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(1,159)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$10,000 to $14,999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4.1% (1,748)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4.2% (1,257)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4.0% (1,320)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4.5% (428)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$15,000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 (1,203)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(883)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2.6% (320)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 (948)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 (255)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1,938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Marital status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Married or common law</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(35,160)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77.4% (24,896)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78.2% (10,264)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77.7% (27,266)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77.5% (7,894)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Single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14.0% (6,331)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14.2% (4,565)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13.5% (1,766)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14.1% (4,962)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13.4% (1,369)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Widowed, divorced, or separated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(3,776)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8.4% (2,687)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(1,089)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8.1% (2,851)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 (925)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Smoking during pregnancy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Non-smoker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52.0% (23,348)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51.6% (16,481)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(6,867)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53.0% (18,452)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48.5% (4,896)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 to 19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(13,733)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30.9% (9,893)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(3,840)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30.5% (10,607)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31.0% (3,126)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20 or more cigarettes per day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(7,845)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17.5% (5,591)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17.4% (2,254)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16.6% (5,774)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20.5% (2,071)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Parity</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30.0% (13,429)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30.6% (9,739)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28.4% (3,690)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29.6% (10,261)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 (3,168)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22.8% (10,220)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23.0% (7,307)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 (2,913)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23.6% (8,196)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20.1% (2,024)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(7,282)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16.3% (5,187)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16.1% (2,095)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16.5% (5,727)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15.4% (1,555)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(5,020)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(3,529)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11.5% (1,491)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(3,905)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(1,115)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4 or more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19.8% (8,848)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19.0% (6,051)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21.5% (2,797)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19.1% (6,625)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22.0% (2,223)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366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Pre-pregnancy diabetes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98.4% (44,552)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98.7% (31,715)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97.9% (12,837)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98.3% (34,490)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98.8% (10,062)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(709)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 (429)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2.1% (280)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 (585)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 (124)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Chronic hypertension</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(42,621)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94.4% (30,334)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93.7% (12,287)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94.2% (33,035)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94.1% (9,586)</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(2,640)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5.6% (1,808)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6.3% (832)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5.8% (2,040)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5.9% (600)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Infant sex</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Female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49.1% (22,214)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49.5% (15,909)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48.1% (6,305)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49.8% (17,480)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46.6% (4,734)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Male</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50.9% (23,023)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50.5% (16,231)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51.9% (6,792)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50.2% (17,588)</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53.4% (5,435)</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Perinatal characteristics (not adjusted for)</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Gestational age at delivery, weeks,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39.4 (3.3)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38.5 (4.4)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39.2 (3.4)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38.9 (4.4)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Preterm birth (&lt;37 weeks)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85.4% (38,471)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87.6% (28,025)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80.1% (10,446)</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86.3% (30,140)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82.2% (8,331)</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14.6% (6,573)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12.4% (3,972)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19.9% (2,601)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(4,770)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17.8% (1,803)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224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170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54</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val="false"/>
                <w:bCs w:val="false"/>
                <w:sz w:val="16"/>
                <w:szCs w:val="16"/>
              </w:rPr>
              <w:t xml:space="preserve">Birthweight, g, mean (SD)</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3143 (612)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3206 (531)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2988 (753)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3162 (561)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3077 (758)</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52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25</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29</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23</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Small for gestational age infant</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91.3% (41,263)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92.6% (29,732)</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88.1% (11,531)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91.7% (32,123)</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90.0% (9,140)</w:t>
            </w:r>
          </w:p>
        </w:tc>
      </w:tr>
      <w:tr>
        <w:trPr>
          <w:cantSplit/>
        </w:trPr>
        <w:tc>
          <w:tcPr>
            <w:tcW w:type="dxa" w:w="2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Yes</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8.7% (3,941)</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7.4% (2,387)</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(1,554)</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8.3% (2,920)</w:t>
            </w:r>
          </w:p>
        </w:tc>
        <w:tc>
          <w:tcPr>
            <w:tcW w:type="dxa" w:w="12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10.0% (1,021)</w:t>
            </w:r>
          </w:p>
        </w:tc>
      </w:tr>
      <w:tr>
        <w:trPr>
          <w:cantSplit/>
        </w:trPr>
        <w:tc>
          <w:tcPr>
            <w:tcW w:type="dxa" w:w="2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Missing</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64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30</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34</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37</w:t>
            </w:r>
          </w:p>
        </w:tc>
        <w:tc>
          <w:tcPr>
            <w:tcW w:type="dxa" w:w="12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27</w:t>
            </w:r>
          </w:p>
        </w:tc>
      </w:tr>
    </w:tbl>
    <w:p>
      <w:pPr>
        <w:spacing w:after="0" w:before="60" w:line="240"/>
      </w:pPr>
      <w:r>
        <w:rPr>
          <w:rFonts w:ascii="Times New Roman" w:cs="Times New Roman" w:eastAsia="Times New Roman" w:hAnsi="Times New Roman"/>
          <w:sz w:val="16"/>
          <w:szCs w:val="16"/>
        </w:rPr>
        <w:t xml:space="preserve">Values are % (n) unless stated otherwise. Percentages exclude missing values, and the number missing is shown for each characteristic. Perinatal characteristics are shown for description only and were not included in adjusted models. BMI, body mass index. SD, standard deviation.</w:t>
      </w:r>
    </w:p>
    <w:p>
      <w:r>
        <w:br w:type="page"/>
      </w:r>
    </w:p>
    <w:p>
      <w:pPr>
        <w:keepNext/>
        <w:spacing w:after="120" w:before="0" w:line="276"/>
      </w:pPr>
      <w:r>
        <w:rPr>
          <w:rFonts w:ascii="Times New Roman" w:cs="Times New Roman" w:eastAsia="Times New Roman" w:hAnsi="Times New Roman"/>
          <w:b/>
          <w:bCs/>
          <w:sz w:val="20"/>
          <w:szCs w:val="20"/>
        </w:rPr>
        <w:t xml:space="preserve">Table 2. </w:t>
      </w:r>
      <w:r>
        <w:rPr>
          <w:rFonts w:ascii="Times New Roman" w:cs="Times New Roman" w:eastAsia="Times New Roman" w:hAnsi="Times New Roman"/>
          <w:sz w:val="20"/>
          <w:szCs w:val="20"/>
        </w:rPr>
        <w:t xml:space="preserve">Associations of placental maternal vascular malperfusion (MVM) and acute inflammation (AI) with definite infantile haemangioma (IH) by one year of age (700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60"/>
        <w:gridCol w:w="1800"/>
        <w:gridCol w:w="1600"/>
        <w:gridCol w:w="1600"/>
        <w:gridCol w:w="1600"/>
      </w:tblGrid>
      <w:tr>
        <w:trPr>
          <w:tblHeader/>
        </w:trPr>
        <w:tc>
          <w:tcPr>
            <w:tcW w:type="dxa" w:w="27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Placental 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IH, % (cases/N)</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Crude</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Primaryᵃ</w:t>
            </w:r>
          </w:p>
          <w:p>
            <w:pPr>
              <w:spacing w:line="240"/>
              <w:jc w:val="center"/>
            </w:pPr>
            <w:r>
              <w:rPr>
                <w:rFonts w:ascii="Times New Roman" w:cs="Times New Roman" w:eastAsia="Times New Roman" w:hAnsi="Times New Roman"/>
                <w:b/>
                <w:bCs/>
                <w:sz w:val="16"/>
                <w:szCs w:val="16"/>
              </w:rPr>
              <w:t xml:space="preserve">RR (95% CI)</w:t>
            </w:r>
          </w:p>
        </w:tc>
        <w:tc>
          <w:tcPr>
            <w:tcW w:type="dxa" w:w="1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Secondaryᵇ</w:t>
            </w:r>
          </w:p>
          <w:p>
            <w:pPr>
              <w:spacing w:line="240"/>
              <w:jc w:val="center"/>
            </w:pPr>
            <w:r>
              <w:rPr>
                <w:rFonts w:ascii="Times New Roman" w:cs="Times New Roman" w:eastAsia="Times New Roman" w:hAnsi="Times New Roman"/>
                <w:b/>
                <w:bCs/>
                <w:sz w:val="16"/>
                <w:szCs w:val="16"/>
              </w:rPr>
              <w:t xml:space="preserve">RR (95% CI)</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(475/29,376)</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(225/11,324)</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1.22 (1.05, 1.43)</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(1.07, 1.46)</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point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1.09 (1.01, 1.18)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1.05 (0.97, 1.15)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1.12 (1.03, 1.21)</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(519/31,820)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2.0% (181/8,880)</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1.25 (1.06,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1.14 (0.96, 1.35)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1.20 (1.02,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Score, per 1 compartment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1.03 (0.98, 1.08)</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1.04 (0.99, 1.09)</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1.6% (364/23,391)</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 REF</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1.8% (155/8,429)</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1.08 (0.89,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1.18 (0.98, 1.42)</w:t>
            </w:r>
          </w:p>
        </w:tc>
      </w:tr>
      <w:tr>
        <w:trPr>
          <w:cantSplit/>
        </w:trPr>
        <w:tc>
          <w:tcPr>
            <w:tcW w:type="dxa" w:w="27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1.9% (111/5,985)</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1.19 (0.96, 1.47)</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1.07 (0.86, 1.32)</w:t>
            </w:r>
          </w:p>
        </w:tc>
        <w:tc>
          <w:tcPr>
            <w:tcW w:type="dxa" w:w="1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1.11 (0.90, 1.37)</w:t>
            </w:r>
          </w:p>
        </w:tc>
      </w:tr>
      <w:tr>
        <w:trPr>
          <w:cantSplit/>
        </w:trPr>
        <w:tc>
          <w:tcPr>
            <w:tcW w:type="dxa" w:w="27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00"/>
              <w:jc w:val="left"/>
            </w:pPr>
            <w:r>
              <w:rPr>
                <w:rFonts w:ascii="Times New Roman" w:cs="Times New Roman" w:eastAsia="Times New Roman" w:hAnsi="Times New Roman"/>
                <w:b w:val="false"/>
                <w:bCs w:val="false"/>
                <w:sz w:val="16"/>
                <w:szCs w:val="16"/>
              </w:rPr>
              <w:t xml:space="preserve">Both MVM and AI</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2.4% (70/2,895)</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1.55 (1.20, 1.99)</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1.37 (1.05, 1.78)</w:t>
            </w:r>
          </w:p>
        </w:tc>
        <w:tc>
          <w:tcPr>
            <w:tcW w:type="dxa" w:w="1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val="false"/>
                <w:bCs w:val="false"/>
                <w:sz w:val="16"/>
                <w:szCs w:val="16"/>
              </w:rPr>
              <w:t xml:space="preserve">1.57 (1.22, 2.02)</w:t>
            </w:r>
          </w:p>
        </w:tc>
      </w:tr>
    </w:tbl>
    <w:p>
      <w:pPr>
        <w:spacing w:after="0" w:before="60" w:line="240"/>
      </w:pPr>
      <w:r>
        <w:rPr>
          <w:rFonts w:ascii="Times New Roman" w:cs="Times New Roman" w:eastAsia="Times New Roman" w:hAnsi="Times New Roman"/>
          <w:sz w:val="16"/>
          <w:szCs w:val="16"/>
        </w:rPr>
        <w:t xml:space="preserve">Relative risks (RR) and 95% confidence intervals (CI) from modified Poisson regression with generalised estimating equations clustered on mother, pooled across 20 imputed datasets. ᵃAdjusted for maternal age, pre-pregnancy body mass index, race and ethnicity, education, income, marital status, smoking, parity, pre-pregnancy diabetes, chronic hypertension, infant sex, and study site, with stabilised inverse probability of censoring weights. ᵇAs for the primary model but without study site. MVM score range 0 to 8. AI score is the number of involved placental compartments (0 to 7).</w:t>
      </w:r>
    </w:p>
    <w:p>
      <w:r>
        <w:br w:type="page"/>
      </w:r>
    </w:p>
    <w:p>
      <w:pPr>
        <w:keepNext/>
        <w:spacing w:after="120" w:before="0" w:line="276"/>
      </w:pPr>
      <w:r>
        <w:rPr>
          <w:rFonts w:ascii="Times New Roman" w:cs="Times New Roman" w:eastAsia="Times New Roman" w:hAnsi="Times New Roman"/>
          <w:b/>
          <w:bCs/>
          <w:sz w:val="20"/>
          <w:szCs w:val="20"/>
        </w:rPr>
        <w:t xml:space="preserve">Fig. 1. </w:t>
      </w:r>
      <w:r>
        <w:rPr>
          <w:rFonts w:ascii="Times New Roman" w:cs="Times New Roman" w:eastAsia="Times New Roman" w:hAnsi="Times New Roman"/>
          <w:sz w:val="20"/>
          <w:szCs w:val="20"/>
        </w:rPr>
        <w:t xml:space="preserve">Flow of participants in the Collaborative Perinatal Project. AI, acute inflammation. IH, infantile haemangioma. MVM, maternal vascular malperfusion.</w:t>
      </w:r>
    </w:p>
    <w:p>
      <w:r>
        <w:drawing>
          <wp:inline distT="0" distB="0" distL="0" distR="0">
            <wp:extent cx="5715000" cy="5276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276850"/>
                    </a:xfrm>
                    <a:prstGeom prst="rect">
                      <a:avLst/>
                    </a:prstGeom>
                  </pic:spPr>
                </pic:pic>
              </a:graphicData>
            </a:graphic>
          </wp:inline>
        </w:drawing>
      </w:r>
    </w:p>
    <w:sectPr>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a64a6bab61b9759820fc8db9aaf5bef466eb99dd.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2026-10-03T01:42:05.470Z</dcterms:created>
  <dcterms:modified xsi:type="dcterms:W3CDTF">2026-10-03T01:42:05.472Z</dcterms:modified>
</cp:coreProperties>
</file>

<file path=docProps/custom.xml><?xml version="1.0" encoding="utf-8"?>
<Properties xmlns="http://schemas.openxmlformats.org/officeDocument/2006/custom-properties" xmlns:vt="http://schemas.openxmlformats.org/officeDocument/2006/docPropsVTypes"/>
</file>