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480"/>
      </w:pPr>
      <w:r>
        <w:rPr>
          <w:rFonts w:ascii="Times New Roman" w:cs="Times New Roman" w:eastAsia="Times New Roman" w:hAnsi="Times New Roman"/>
          <w:b/>
          <w:bCs/>
          <w:sz w:val="28"/>
          <w:szCs w:val="28"/>
        </w:rPr>
        <w:t xml:space="preserve">Response to comments from Stefanie Hinkle and Ellen Francis</w:t>
      </w:r>
    </w:p>
    <w:p>
      <w:pPr>
        <w:spacing w:after="200" w:before="0" w:line="276"/>
      </w:pPr>
      <w:r>
        <w:rPr>
          <w:rFonts w:ascii="Times New Roman" w:cs="Times New Roman" w:eastAsia="Times New Roman" w:hAnsi="Times New Roman"/>
          <w:sz w:val="20"/>
          <w:szCs w:val="20"/>
        </w:rPr>
        <w:t xml:space="preserve">Thank you both for the careful read and the encouragement. The manuscript has been reframed around the joint MVM and AI finding, the single-lesion results are described as small but imprecise increases in risk, and the study site discussion has been condensed into the limitations. Each comment is listed below with the change made.</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4300"/>
        <w:gridCol w:w="6000"/>
        <w:gridCol w:w="1960"/>
      </w:tblGrid>
      <w:tr>
        <w:trPr>
          <w:tblHeader/>
        </w:trPr>
        <w:tc>
          <w:tcPr>
            <w:tcW w:type="dxa" w:w="4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w:t>
            </w:r>
          </w:p>
        </w:tc>
        <w:tc>
          <w:tcPr>
            <w:tcW w:type="dxa" w:w="1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From</w:t>
            </w:r>
          </w:p>
        </w:tc>
        <w:tc>
          <w:tcPr>
            <w:tcW w:type="dxa" w:w="4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Comment</w:t>
            </w:r>
          </w:p>
        </w:tc>
        <w:tc>
          <w:tcPr>
            <w:tcW w:type="dxa" w:w="6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Response</w:t>
            </w:r>
          </w:p>
        </w:tc>
        <w:tc>
          <w:tcPr>
            <w:tcW w:type="dxa" w:w="1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Where</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 40,700 denominator is confusing next to 45,268.</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Now reads "Of 40,700 infants examined at one year".</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 add score ranges and per unit.</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Added (MVM range 0 to 8, AI range 0 to 7, aRR per unit).</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 and 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 say MVM and AI were associated with modestly higher risk but imprecise. Conclusion repeats the results, start with the joint finding.</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now lead with the joint finding, single lesions described as modestly higher but imprecise. Conclusion now states that chronic malperfusion and acute inflammation may act together.</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Abstract</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 and 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Highlights: avoid acronyms, remove the "alone not associated", imprecision, and site highlights.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Highlights rewritten without acronyms and without the site and imprecision points. Ellen's joint highlight is included.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Highlights</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 the NINDS name.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Pregnancies or foetuses?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59,391 count is infant records, so twins are counted individually. Now reads "59,391 infants". From the singleton step onward, pregnancies and infants are the same.</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 "(including superimposed pre-eclampsia)".</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2.4</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Rewording of the death and examination sentence.</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Accepted. The percentage without an examination is now expressed among survivors (6.3%, previously 6.0% of all infants).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2.5</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Interaction does not seem to be specified in the Methods.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RERI, attributable proportion, and ratio of RRs are specified in the last sentence of the modelling paragraph.</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Methods 2.5</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small albeit imprecise higher risk rather than "neither".</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Revised throughout Results, Discussion, and Conclusion.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Joint results: lead with the both-lesion result.</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joint exposure is now the first results section, leading with the both-lesion result. MVM-only and AI-only estimates are summarised in one sentence and shown in Table 2.</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3.2</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 and 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Sensitivity analyses: remove estimates. Foetal-only paragraph is confusing and not part of the question.</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Sensitivity results are now described without estimates, and the foetal-only paragraph was removed.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Results 3.4</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Make the joint finding the main finding of the Discussion. Move interaction imprecision to limitations.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opening paragraph now leads with the joint finding. Interaction imprecision is noted in the biological interpretation and limitations.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 and 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Site discussion should be one or two sentences in the limitations, not the first paragraph.</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study site section was removed and condensed into the third limitation, using Ellen's suggested wording.</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Hard edits to Comparison with previous studies.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Accepted, with three factual corrections: inflammation in Lopez Gutierrez et al. was chorioamnionitis or funisitis (acute), not mononuclear infiltrates (chronic), Munden et al. anomalies were mostly clinically defined conditions rather than gross structural abnormalities, and the hypertensive disorders citation now points to the previous CPP study and the pre-eclampsia pathology paper separately.</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 and 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The administrative data sentence is unclear.</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Rewritten: in administrative data, the association between pre-eclampsia and IH largely reflected greater surveillance of infants with longer neonatal stays.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4.1</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Ellen</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Biological interpretation rewrite: MVM and AI biologically interact. Genetic studies paragraph was confusing.</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Accepted, and the genetic studies sentence was removed. Two corrections: foetal thrombotic vasculopathy is foetal vascular malperfusion and is not part of the MVM score, so the MVM examples are now infarction, retroplacental haematoma, and perivillous fibrin. Baker et al. show that hypoxia induces placental inflammation, so the sentence now cites it in that direction, which supports the interaction argument.</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4.2</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 not report post hoc power.</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Removed. The limitation now states limited power for small associations or interaction.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Amsterdam and misclassification are two separate points.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Split into two limitations.</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IH ascertainment by site limitation is not needed.</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Removed.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Linda (earlier round)</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AI is acute and a hard mechanism to explain.</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Kept as one limitation sentence because the paragraph discussing it was removed.</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4.3</w:t>
            </w:r>
          </w:p>
        </w:tc>
      </w:tr>
      <w:tr>
        <w:trPr>
          <w:cantSplit/>
        </w:trPr>
        <w:tc>
          <w:tcPr>
            <w:tcW w:type="dxa" w:w="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Mention what it would take to confirm the findings.</w:t>
            </w:r>
          </w:p>
        </w:tc>
        <w:tc>
          <w:tcPr>
            <w:tcW w:type="dxa" w:w="6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Added: a considerably larger cohort with systematic placental examination, which is difficult because placentas are rarely sent for pathology without a clinical indication.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Discussion 4.4</w:t>
            </w:r>
          </w:p>
        </w:tc>
      </w:tr>
      <w:tr>
        <w:trPr>
          <w:cantSplit/>
        </w:trPr>
        <w:tc>
          <w:tcPr>
            <w:tcW w:type="dxa" w:w="4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23</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Stefanie</w:t>
            </w:r>
          </w:p>
        </w:tc>
        <w:tc>
          <w:tcPr>
            <w:tcW w:type="dxa" w:w="4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Do not end the paper with the site issue.</w:t>
            </w:r>
          </w:p>
        </w:tc>
        <w:tc>
          <w:tcPr>
            <w:tcW w:type="dxa" w:w="6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Conclusion now ends on combined placental injury in the developmental origins of IH.</w:t>
            </w:r>
          </w:p>
        </w:tc>
        <w:tc>
          <w:tcPr>
            <w:tcW w:type="dxa" w:w="1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Conclusion</w:t>
            </w:r>
          </w:p>
        </w:tc>
      </w:tr>
    </w:tbl>
    <w:p>
      <w:pPr>
        <w:spacing w:after="0" w:before="0" w:line="480"/>
      </w:pPr>
      <w:r>
        <w:rPr>
          <w:rFonts w:ascii="Times New Roman" w:cs="Times New Roman" w:eastAsia="Times New Roman" w:hAnsi="Times New Roman"/>
          <w:sz w:val="24"/>
          <w:szCs w:val="24"/>
        </w:rPr>
        <w:t xml:space="preserve"> </w:t>
      </w:r>
    </w:p>
    <w:p>
      <w:pPr>
        <w:spacing w:after="0" w:before="200" w:line="276"/>
      </w:pPr>
      <w:r>
        <w:rPr>
          <w:rFonts w:ascii="Times New Roman" w:cs="Times New Roman" w:eastAsia="Times New Roman" w:hAnsi="Times New Roman"/>
          <w:b/>
          <w:bCs/>
          <w:sz w:val="24"/>
          <w:szCs w:val="24"/>
        </w:rPr>
        <w:t xml:space="preserve">Open questions</w:t>
      </w:r>
    </w:p>
    <w:p>
      <w:pPr>
        <w:spacing w:after="0" w:before="0" w:line="276"/>
      </w:pPr>
      <w:r>
        <w:rPr>
          <w:rFonts w:ascii="Times New Roman" w:cs="Times New Roman" w:eastAsia="Times New Roman" w:hAnsi="Times New Roman"/>
          <w:sz w:val="20"/>
          <w:szCs w:val="20"/>
        </w:rPr>
        <w:t xml:space="preserve">• Ellen: please confirm the target journal (PPE). Formatting currently follows Placenta and will be updated once confirmed.</w:t>
      </w:r>
    </w:p>
    <w:p>
      <w:pPr>
        <w:spacing w:after="0" w:before="0" w:line="276"/>
      </w:pPr>
      <w:r>
        <w:rPr>
          <w:rFonts w:ascii="Times New Roman" w:cs="Times New Roman" w:eastAsia="Times New Roman" w:hAnsi="Times New Roman"/>
          <w:sz w:val="20"/>
          <w:szCs w:val="20"/>
        </w:rPr>
        <w:t xml:space="preserve">• Ellen: please confirm the article number for Baker et al. 2021 (Sci Rep).</w:t>
      </w:r>
    </w:p>
    <w:p>
      <w:pPr>
        <w:spacing w:after="0" w:before="0" w:line="276"/>
      </w:pPr>
      <w:r>
        <w:rPr>
          <w:rFonts w:ascii="Times New Roman" w:cs="Times New Roman" w:eastAsia="Times New Roman" w:hAnsi="Times New Roman"/>
          <w:sz w:val="20"/>
          <w:szCs w:val="20"/>
        </w:rPr>
        <w:t xml:space="preserve">• Alexa: still need the exact MVM lesion list, the AI stage rule, and confirmation of the site names.</w:t>
      </w:r>
    </w:p>
    <w:sectPr>
      <w:footerReference w:type="default" r:id="rId6"/>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2026-10-16T23:07:18.218Z</dcterms:created>
  <dcterms:modified xsi:type="dcterms:W3CDTF">2026-10-16T23:07:18.218Z</dcterms:modified>
</cp:coreProperties>
</file>

<file path=docProps/custom.xml><?xml version="1.0" encoding="utf-8"?>
<Properties xmlns="http://schemas.openxmlformats.org/officeDocument/2006/custom-properties" xmlns:vt="http://schemas.openxmlformats.org/officeDocument/2006/docPropsVTypes"/>
</file>