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jc w:val="center"/>
      </w:pPr>
      <w:r>
        <w:rPr>
          <w:rFonts w:ascii="Times New Roman" w:cs="Times New Roman" w:eastAsia="Times New Roman" w:hAnsi="Times New Roman"/>
          <w:b/>
          <w:bCs/>
          <w:sz w:val="28"/>
          <w:szCs w:val="28"/>
        </w:rPr>
        <w:t xml:space="preserve">Placental Pathology and Infantile Haemangioma in the Collaborative Perinatal Project</w:t>
      </w:r>
    </w:p>
    <w:p>
      <w:pPr>
        <w:spacing w:after="240" w:before="0" w:line="480"/>
        <w:jc w:val="center"/>
      </w:pPr>
      <w:r>
        <w:rPr>
          <w:rFonts w:ascii="Times New Roman" w:cs="Times New Roman" w:eastAsia="Times New Roman" w:hAnsi="Times New Roman"/>
          <w:sz w:val="24"/>
          <w:szCs w:val="24"/>
        </w:rPr>
        <w:t xml:space="preserve">Jessica J. Wong, MS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Sunni L. Mumford, PhD</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Alexa A. Freedman, PhD</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Linda M. Ernst, MD, MHS</w:t>
      </w:r>
      <w:r>
        <w:rPr>
          <w:rFonts w:ascii="Times New Roman" w:cs="Times New Roman" w:eastAsia="Times New Roman" w:hAnsi="Times New Roman"/>
          <w:sz w:val="24"/>
          <w:szCs w:val="24"/>
          <w:vertAlign w:val="superscript"/>
        </w:rPr>
        <w:t xml:space="preserve">4,5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Yajnaseni Chakraborti, PhD</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David J. Margolis, MD, PhD</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Ellen C. Caniglia, ScD</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Enrique F. Schisterman, PhD</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Stefanie N. Hinkle, PhD</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Ellen C. Francis, PhD</w:t>
      </w:r>
      <w:r>
        <w:rPr>
          <w:rFonts w:ascii="Times New Roman" w:cs="Times New Roman" w:eastAsia="Times New Roman" w:hAnsi="Times New Roman"/>
          <w:sz w:val="24"/>
          <w:szCs w:val="24"/>
          <w:vertAlign w:val="superscript"/>
        </w:rPr>
        <w:t xml:space="preserve">7*</w:t>
      </w:r>
    </w:p>
    <w:p>
      <w:pPr>
        <w:spacing w:after="0" w:before="0" w:line="276"/>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Department of Biostatistics, Epidemiology, and Informatics, Perelman School of Medicine, University of Pennsylvania, Philadelphia, PA, USA</w:t>
      </w:r>
    </w:p>
    <w:p>
      <w:pPr>
        <w:spacing w:after="0" w:before="0" w:line="276"/>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Obstetrics and Gynecology, Perelman School of Medicine, University of Pennsylvania, Philadelphia, PA, USA</w:t>
      </w:r>
    </w:p>
    <w:p>
      <w:pPr>
        <w:spacing w:after="0" w:before="0" w:line="276"/>
      </w:pP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Department of Preventive Medicine, Northwestern University Feinberg School of Medicine, Chicago, IL, USA</w:t>
      </w:r>
    </w:p>
    <w:p>
      <w:pPr>
        <w:spacing w:after="0" w:before="0" w:line="276"/>
      </w:pP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Endeavor Health, Evanston, IL, USA</w:t>
      </w:r>
    </w:p>
    <w:p>
      <w:pPr>
        <w:spacing w:after="0" w:before="0" w:line="276"/>
      </w:pP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Department of Pathology and Laboratory Medicine, Endeavor Health and Department of Pathology, University of Chicago Pritzker School of Medicine, Chicago, IL, USA</w:t>
      </w:r>
    </w:p>
    <w:p>
      <w:pPr>
        <w:spacing w:after="0" w:before="0" w:line="276"/>
      </w:pP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Department of Dermatology, Perelman School of Medicine, University of Pennsylvania, Philadelphia, PA, USA</w:t>
      </w:r>
    </w:p>
    <w:p>
      <w:pPr>
        <w:spacing w:after="0" w:before="0" w:line="276"/>
      </w:pP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Department of Biostatistics and Epidemiology, Rutgers School of Public Health, Rutgers University, Piscataway, NJ, USA</w:t>
      </w:r>
    </w:p>
    <w:p>
      <w:pPr>
        <w:spacing w:after="0" w:before="0" w:line="276"/>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Co-senior authors</w:t>
      </w:r>
    </w:p>
    <w:p>
      <w:pPr>
        <w:spacing w:after="0" w:before="240" w:line="480"/>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Stefanie N. Hinkle, PhD, Department of Biostatistics, Epidemiology, and Informatics, Perelman School of Medicine, University of Pennsylvania, 3600 Civic Center Blvd, 5W-101B, Philadelphia, PA 19104, USA. Email: stefanie.hinkle@pennmedicine.upenn.edu</w:t>
      </w:r>
    </w:p>
    <w:p>
      <w:pPr>
        <w:spacing w:after="0" w:before="0" w:line="480"/>
      </w:pPr>
      <w:r>
        <w:rPr>
          <w:rFonts w:ascii="Times New Roman" w:cs="Times New Roman" w:eastAsia="Times New Roman" w:hAnsi="Times New Roman"/>
          <w:b/>
          <w:bCs/>
          <w:sz w:val="24"/>
          <w:szCs w:val="24"/>
        </w:rPr>
        <w:t xml:space="preserve">Running head: </w:t>
      </w:r>
      <w:r>
        <w:rPr>
          <w:rFonts w:ascii="Times New Roman" w:cs="Times New Roman" w:eastAsia="Times New Roman" w:hAnsi="Times New Roman"/>
          <w:sz w:val="24"/>
          <w:szCs w:val="24"/>
        </w:rPr>
        <w:t xml:space="preserve">Placental Pathology and Infantile Haemangioma</w:t>
      </w:r>
    </w:p>
    <w:p>
      <w:pPr>
        <w:spacing w:after="0" w:before="0" w:line="480"/>
      </w:pPr>
      <w:r>
        <w:rPr>
          <w:rFonts w:ascii="Times New Roman" w:cs="Times New Roman" w:eastAsia="Times New Roman" w:hAnsi="Times New Roman"/>
          <w:b/>
          <w:bCs/>
          <w:sz w:val="24"/>
          <w:szCs w:val="24"/>
        </w:rPr>
        <w:t xml:space="preserve">Manuscript type: </w:t>
      </w:r>
      <w:r>
        <w:rPr>
          <w:rFonts w:ascii="Times New Roman" w:cs="Times New Roman" w:eastAsia="Times New Roman" w:hAnsi="Times New Roman"/>
          <w:sz w:val="24"/>
          <w:szCs w:val="24"/>
        </w:rPr>
        <w:t xml:space="preserve">Original Article</w:t>
      </w:r>
    </w:p>
    <w:p>
      <w:pPr>
        <w:spacing w:after="0" w:before="0" w:line="480"/>
      </w:pPr>
      <w:r>
        <w:rPr>
          <w:rFonts w:ascii="Times New Roman" w:cs="Times New Roman" w:eastAsia="Times New Roman" w:hAnsi="Times New Roman"/>
          <w:b/>
          <w:bCs/>
          <w:sz w:val="24"/>
          <w:szCs w:val="24"/>
        </w:rPr>
        <w:t xml:space="preserve">Word count: </w:t>
      </w:r>
      <w:r>
        <w:rPr>
          <w:rFonts w:ascii="Times New Roman" w:cs="Times New Roman" w:eastAsia="Times New Roman" w:hAnsi="Times New Roman"/>
          <w:sz w:val="24"/>
          <w:szCs w:val="24"/>
        </w:rPr>
        <w:t xml:space="preserve">2,944 (main text), 248 (abstract)</w:t>
      </w:r>
    </w:p>
    <w:p>
      <w:pPr>
        <w:spacing w:after="0" w:before="0" w:line="480"/>
      </w:pPr>
      <w:r>
        <w:rPr>
          <w:rFonts w:ascii="Times New Roman" w:cs="Times New Roman" w:eastAsia="Times New Roman" w:hAnsi="Times New Roman"/>
          <w:b/>
          <w:bCs/>
          <w:sz w:val="24"/>
          <w:szCs w:val="24"/>
        </w:rPr>
        <w:t xml:space="preserve">Tables: </w:t>
      </w:r>
      <w:r>
        <w:rPr>
          <w:rFonts w:ascii="Times New Roman" w:cs="Times New Roman" w:eastAsia="Times New Roman" w:hAnsi="Times New Roman"/>
          <w:sz w:val="24"/>
          <w:szCs w:val="24"/>
        </w:rPr>
        <w:t xml:space="preserve">2. Figures: 1. Supplementary material: 1 file (Tables S1 to S10). References: 40</w:t>
      </w:r>
    </w:p>
    <w:p>
      <w:pPr>
        <w:spacing w:after="0" w:before="0" w:line="480"/>
      </w:pPr>
      <w:r>
        <w:rPr>
          <w:rFonts w:ascii="Times New Roman" w:cs="Times New Roman" w:eastAsia="Times New Roman" w:hAnsi="Times New Roman"/>
          <w:b/>
          <w:bCs/>
          <w:sz w:val="24"/>
          <w:szCs w:val="24"/>
        </w:rPr>
        <w:t xml:space="preserve">ORCID iDs: </w:t>
      </w:r>
      <w:r>
        <w:rPr>
          <w:rFonts w:ascii="Times New Roman" w:cs="Times New Roman" w:eastAsia="Times New Roman" w:hAnsi="Times New Roman"/>
          <w:sz w:val="24"/>
          <w:szCs w:val="24"/>
        </w:rPr>
        <w:t xml:space="preserve">Jessica J. Wong: 0009-0002-7642-1613. Sunni L. Mumford: 0000-0003-0133-3176. Alexa A. Freedman: 0000-0001-9745-7768. Linda M. Ernst: 0000-0003-0104-5107. Yajnaseni Chakraborti: 0000-0002-6747-8821. David J. Margolis: 0000-0002-8540-7786. Ellen C. Caniglia: 0000-0002-9891-057X. Enrique F. Schisterman: 0000-0001-5238-519X. Stefanie N. Hinkle: 0000-0003-4312-708X. Ellen C. Francis: 0000-0001-8618-045X</w:t>
      </w:r>
    </w:p>
    <w:p>
      <w:r>
        <w:br w:type="page"/>
      </w:r>
    </w:p>
    <w:p>
      <w:pPr>
        <w:keepNext/>
        <w:spacing w:after="0" w:before="240" w:line="480"/>
      </w:pPr>
      <w:r>
        <w:rPr>
          <w:rFonts w:ascii="Times New Roman" w:cs="Times New Roman" w:eastAsia="Times New Roman" w:hAnsi="Times New Roman"/>
          <w:b/>
          <w:bCs/>
          <w:i w:val="false"/>
          <w:iCs w:val="false"/>
          <w:sz w:val="24"/>
          <w:szCs w:val="24"/>
        </w:rPr>
        <w:t xml:space="preserve">Abstract</w:t>
      </w:r>
    </w:p>
    <w:p>
      <w:pPr>
        <w:spacing w:after="0" w:before="0" w:line="480"/>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Infantile haemangioma (IH), the most common tumour of infancy, is a raised, bright-red skin lesion that appears within weeks of birth and affects 1.5% to 4.4% of newborns. Perinatal risk factors implicate the maternal-placental-foetal unit, yet placental injury patterns remain unexamined.</w:t>
      </w:r>
    </w:p>
    <w:p>
      <w:pPr>
        <w:spacing w:after="0" w:before="0" w:line="48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This analysis included 45,268 singleton pregnancies from the Collaborative Perinatal Project, a prospective cohort enrolled across 12 US centres (1959 to 1965) with systematic placental histopathology. Exposures were (1) maternal vascular malperfusion (MVM) and (2) acute inflammation (AI), each as present or absent and as a continuous score, and (3) a joint exposure (neither, MVM only, AI only, or both). Standardised paediatrician examinations ascertained IH by age one. Adjusted relative risks (aRR) were estimated by modified Poisson regression with 11 covariates, study site, and inverse probability of censoring weights.</w:t>
      </w:r>
    </w:p>
    <w:p>
      <w:pPr>
        <w:spacing w:after="0" w:before="0" w:line="48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Of 40,700 infants examined at one year, 700 (1.7%) had IH. Infants whose placentas showed both MVM and AI had higher IH risk than those with neither (aRR 1.37, 95% CI 1.05, 1.78). MVM (aRR 1.14, 95% CI 0.96, 1.35) and AI (aRR 1.14, 95% CI 0.96, 1.35) alone were associated with modestly higher but imprecise IH risk, as were the MVM score (range 0 to 8, aRR 1.05 per unit, 95% CI 0.97, 1.15) and AI score (range 0 to 7, aRR 1.03 per unit, 95% CI 0.98, 1.08).</w:t>
      </w:r>
    </w:p>
    <w:p>
      <w:pPr>
        <w:spacing w:after="0" w:before="0" w:line="48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Placentas with both MVM and AI carried a higher IH risk, suggesting that chronic malperfusion and acute inflammation may act together in IH development.</w:t>
      </w:r>
    </w:p>
    <w:p>
      <w:pPr>
        <w:spacing w:after="0" w:before="24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Infantile haemangioma, Placental pathology, Maternal vascular malperfusion, Placental inflammation, Collaborative Perinatal Project, Cohort studies</w:t>
      </w:r>
    </w:p>
    <w:p>
      <w:pPr>
        <w:keepNext/>
        <w:spacing w:after="0" w:before="240" w:line="480"/>
      </w:pPr>
      <w:r>
        <w:rPr>
          <w:rFonts w:ascii="Times New Roman" w:cs="Times New Roman" w:eastAsia="Times New Roman" w:hAnsi="Times New Roman"/>
          <w:b/>
          <w:bCs/>
          <w:i w:val="false"/>
          <w:iCs w:val="false"/>
          <w:sz w:val="24"/>
          <w:szCs w:val="24"/>
        </w:rPr>
        <w:t xml:space="preserve">Highlights</w:t>
      </w:r>
    </w:p>
    <w:p>
      <w:pPr>
        <w:spacing w:after="0" w:before="0" w:line="480"/>
      </w:pPr>
      <w:r>
        <w:rPr>
          <w:rFonts w:ascii="Times New Roman" w:cs="Times New Roman" w:eastAsia="Times New Roman" w:hAnsi="Times New Roman"/>
          <w:sz w:val="24"/>
          <w:szCs w:val="24"/>
        </w:rPr>
        <w:t xml:space="preserve">• Placental pathology and infantile haemangioma were studied in 45,268 pregnancies</w:t>
      </w:r>
    </w:p>
    <w:p>
      <w:pPr>
        <w:spacing w:after="0" w:before="0" w:line="480"/>
      </w:pPr>
      <w:r>
        <w:rPr>
          <w:rFonts w:ascii="Times New Roman" w:cs="Times New Roman" w:eastAsia="Times New Roman" w:hAnsi="Times New Roman"/>
          <w:sz w:val="24"/>
          <w:szCs w:val="24"/>
        </w:rPr>
        <w:t xml:space="preserve">• Haemangioma risk was higher when placentas had both malperfusion and inflammation</w:t>
      </w:r>
    </w:p>
    <w:p>
      <w:pPr>
        <w:spacing w:after="0" w:before="0" w:line="480"/>
      </w:pPr>
      <w:r>
        <w:rPr>
          <w:rFonts w:ascii="Times New Roman" w:cs="Times New Roman" w:eastAsia="Times New Roman" w:hAnsi="Times New Roman"/>
          <w:sz w:val="24"/>
          <w:szCs w:val="24"/>
        </w:rPr>
        <w:t xml:space="preserve">• Malperfusion or inflammation alone showed small, imprecise increases in risk</w:t>
      </w:r>
    </w:p>
    <w:p>
      <w:pPr>
        <w:spacing w:after="0" w:before="0" w:line="480"/>
      </w:pPr>
      <w:r>
        <w:rPr>
          <w:rFonts w:ascii="Times New Roman" w:cs="Times New Roman" w:eastAsia="Times New Roman" w:hAnsi="Times New Roman"/>
          <w:sz w:val="24"/>
          <w:szCs w:val="24"/>
        </w:rPr>
        <w:t xml:space="preserve">• Chronic and acute placental injury may act together in haemangioma development</w:t>
      </w:r>
    </w:p>
    <w:p>
      <w:r>
        <w:br w:type="page"/>
      </w:r>
    </w:p>
    <w:p>
      <w:pPr>
        <w:keepNext/>
        <w:spacing w:after="0" w:before="240" w:line="480"/>
      </w:pPr>
      <w:r>
        <w:rPr>
          <w:rFonts w:ascii="Times New Roman" w:cs="Times New Roman" w:eastAsia="Times New Roman" w:hAnsi="Times New Roman"/>
          <w:b/>
          <w:bCs/>
          <w:i w:val="false"/>
          <w:iCs w:val="false"/>
          <w:sz w:val="24"/>
          <w:szCs w:val="24"/>
        </w:rPr>
        <w:t xml:space="preserve">1. Introduction</w:t>
      </w:r>
    </w:p>
    <w:p>
      <w:pPr>
        <w:spacing w:after="0" w:before="0" w:line="480"/>
        <w:ind w:firstLine="480"/>
      </w:pPr>
      <w:r>
        <w:rPr>
          <w:rFonts w:ascii="Times New Roman" w:cs="Times New Roman" w:eastAsia="Times New Roman" w:hAnsi="Times New Roman"/>
          <w:sz w:val="24"/>
          <w:szCs w:val="24"/>
        </w:rPr>
        <w:t xml:space="preserve">Infantile haemangioma (IH) is the most common tumour of infancy, affecting approximately 1.5% to 4.4% of infants [1]. IH typically presents as a raised, bright-red lesion in the first weeks after birth, most often on the head, neck, or trunk, and proliferates rapidly during the first months of life before slowly resolving [2,3]. Lesions on the face, airway, or other anatomically sensitive sites can cause visual obstruction, airway compromise, ulceration, and lasting disfigurement [2,4]. Despite this burden, the aetiology of IH remains incompletely understood. The most consistently reported risk factors (e.g., female sex, preterm birth, low birthweight, and multiple gestation), together with more variably reported factors (e.g., placenta praevia and pre-eclampsia), point to the maternal-placental-foetal unit as a plausible origin [5–8].</w:t>
      </w:r>
    </w:p>
    <w:p>
      <w:pPr>
        <w:spacing w:after="0" w:before="0" w:line="480"/>
        <w:ind w:firstLine="480"/>
      </w:pPr>
      <w:r>
        <w:rPr>
          <w:rFonts w:ascii="Times New Roman" w:cs="Times New Roman" w:eastAsia="Times New Roman" w:hAnsi="Times New Roman"/>
          <w:sz w:val="24"/>
          <w:szCs w:val="24"/>
        </w:rPr>
        <w:t xml:space="preserve">Several lines of evidence link IH to the placenta. IH endothelial cells share a distinctive immunophenotype with placental microvessels, including expression of glucose transporter 1, merosin, Lewis Y antigen, and FcγRII [9], and IH and placenta show closely related transcriptional profiles [10]. Proliferating IH displays a hypoxia-responsive phenotype, hypoxia-induced mediators of progenitor cell mobilisation are elevated in affected children [11,12], and clinical and histological observations have linked placental hypoxia to neonatal haemangioma [13]. These observations have led to the hypothesis that placental injury, and the intrauterine hypoxia or inflammation that accompanies it, may prime the development of IH [2,14].</w:t>
      </w:r>
    </w:p>
    <w:p>
      <w:pPr>
        <w:spacing w:after="0" w:before="0" w:line="480"/>
        <w:ind w:firstLine="480"/>
      </w:pPr>
      <w:r>
        <w:rPr>
          <w:rFonts w:ascii="Times New Roman" w:cs="Times New Roman" w:eastAsia="Times New Roman" w:hAnsi="Times New Roman"/>
          <w:sz w:val="24"/>
          <w:szCs w:val="24"/>
        </w:rPr>
        <w:t xml:space="preserve">Contemporary placental pathology classifies lesions into injury patterns that reflect distinct biological processes [15,16]. Two patterns are of particular relevance. Maternal vascular malperfusion (MVM) reflects impaired uteroplacental perfusion and oxygenation, and acute inflammation (AI) reflects neutrophilic infiltration of the placental membranes and foetal vessels in response to an inflammatory intrauterine milieu [16,17].</w:t>
      </w:r>
    </w:p>
    <w:p>
      <w:pPr>
        <w:spacing w:after="0" w:before="0" w:line="480"/>
        <w:ind w:firstLine="480"/>
      </w:pPr>
      <w:r>
        <w:rPr>
          <w:rFonts w:ascii="Times New Roman" w:cs="Times New Roman" w:eastAsia="Times New Roman" w:hAnsi="Times New Roman"/>
          <w:sz w:val="24"/>
          <w:szCs w:val="24"/>
        </w:rPr>
        <w:t xml:space="preserve">Few epidemiological studies have examined the placenta in relation to IH. In a prospective cohort of 594 infants with 27 IH cases, placental anomalies (i.e., a composite of clinical and pathological conditions including pre-eclampsia, placenta praevia, and growth restriction) were approximately twice as common in IH-affected pregnancies [7]. Among 26 very-low-birthweight infants, extensive infarction or retroplacental haematoma was reported in all 13 placentas from infants with IH [18], whereas a Swedish case-control study found no association between placental chorangioma and parent-reported IH [19]. These studies were small, drawn from selected clinical populations, and unadjusted for confounding, and none examined contemporary patterns of placental injury or their co-occurrence. Placental histopathology is also challenging to study across centres, because diagnostic thresholds for MVM and AI vary between pathologists and institutions [20–22].</w:t>
      </w:r>
    </w:p>
    <w:p>
      <w:pPr>
        <w:spacing w:after="0" w:before="0" w:line="480"/>
        <w:ind w:firstLine="480"/>
      </w:pPr>
      <w:r>
        <w:rPr>
          <w:rFonts w:ascii="Times New Roman" w:cs="Times New Roman" w:eastAsia="Times New Roman" w:hAnsi="Times New Roman"/>
          <w:sz w:val="24"/>
          <w:szCs w:val="24"/>
        </w:rPr>
        <w:t xml:space="preserve">The objective of this study was to examine associations of placental MVM and AI, individually and in combination, with paediatrician-ascertained IH by one year of age in the Collaborative Perinatal Project (CPP), a large prospective cohort with systematic placental histopathology and standardised infant examinations across 12 US clinical centres.</w:t>
      </w:r>
    </w:p>
    <w:p>
      <w:pPr>
        <w:keepNext/>
        <w:spacing w:after="0" w:before="240" w:line="480"/>
      </w:pPr>
      <w:r>
        <w:rPr>
          <w:rFonts w:ascii="Times New Roman" w:cs="Times New Roman" w:eastAsia="Times New Roman" w:hAnsi="Times New Roman"/>
          <w:b/>
          <w:bCs/>
          <w:i w:val="false"/>
          <w:iCs w:val="false"/>
          <w:sz w:val="24"/>
          <w:szCs w:val="24"/>
        </w:rPr>
        <w:t xml:space="preserve">2. Methods</w:t>
      </w:r>
    </w:p>
    <w:p>
      <w:pPr>
        <w:keepNext/>
        <w:spacing w:after="0" w:before="240" w:line="480"/>
      </w:pPr>
      <w:r>
        <w:rPr>
          <w:rFonts w:ascii="Times New Roman" w:cs="Times New Roman" w:eastAsia="Times New Roman" w:hAnsi="Times New Roman"/>
          <w:b/>
          <w:bCs/>
          <w:i/>
          <w:iCs/>
          <w:sz w:val="24"/>
          <w:szCs w:val="24"/>
        </w:rPr>
        <w:t xml:space="preserve">2.1. Study population</w:t>
      </w:r>
    </w:p>
    <w:p>
      <w:pPr>
        <w:spacing w:after="0" w:before="0" w:line="480"/>
        <w:ind w:firstLine="480"/>
      </w:pPr>
      <w:r>
        <w:rPr>
          <w:rFonts w:ascii="Times New Roman" w:cs="Times New Roman" w:eastAsia="Times New Roman" w:hAnsi="Times New Roman"/>
          <w:sz w:val="24"/>
          <w:szCs w:val="24"/>
        </w:rPr>
        <w:t xml:space="preserve">The CPP was a prospective cohort study of perinatal factors in relation to neurological and developmental outcomes in offspring [23,24]. Pregnant women were enrolled at their first antenatal visit at 12 US clinical centres from 1959 to 1965, with deliveries continuing into 1966. Placentas were examined by trained study pathologists at each centre using a standardised protocol [25], and offspring underwent standardised examinations by study paediatricians at 12 months of age. The de-identified CPP data are publicly available through the US National Archives and Records Administration.</w:t>
      </w:r>
    </w:p>
    <w:p>
      <w:pPr>
        <w:spacing w:after="0" w:before="0" w:line="480"/>
        <w:ind w:firstLine="480"/>
      </w:pPr>
      <w:r>
        <w:rPr>
          <w:rFonts w:ascii="Times New Roman" w:cs="Times New Roman" w:eastAsia="Times New Roman" w:hAnsi="Times New Roman"/>
          <w:sz w:val="24"/>
          <w:szCs w:val="24"/>
        </w:rPr>
        <w:t xml:space="preserve">Of 59,391 infants in the CPP, 47,090 had a placental pathology record (Fig. 1). Multiple gestations (n = 933) were excluded because twins may share a placenta, particularly in monochorionic pregnancies, so placental lesions cannot be assigned to the intrauterine exposure of an individual infant, and because multiple gestation is strongly associated with both placental pathology and IH [5]. Plurality was taken from the CPP delivery record and cross-checked against the placental pathology file. After further excluding pregnancies with a missing MVM score (n = 887) or missing AI data (n = 2), the analytic sample comprised 45,268 singleton pregnancies. This secondary analysis of de-identified, publicly available data was determined exempt by the University of Pennsylvania Institutional Review Board.</w:t>
      </w:r>
    </w:p>
    <w:p>
      <w:pPr>
        <w:keepNext/>
        <w:spacing w:after="0" w:before="240" w:line="480"/>
      </w:pPr>
      <w:r>
        <w:rPr>
          <w:rFonts w:ascii="Times New Roman" w:cs="Times New Roman" w:eastAsia="Times New Roman" w:hAnsi="Times New Roman"/>
          <w:b/>
          <w:bCs/>
          <w:i/>
          <w:iCs/>
          <w:sz w:val="24"/>
          <w:szCs w:val="24"/>
        </w:rPr>
        <w:t xml:space="preserve">2.2. Placental pathology</w:t>
      </w:r>
    </w:p>
    <w:p>
      <w:pPr>
        <w:spacing w:after="0" w:before="0" w:line="480"/>
        <w:ind w:firstLine="480"/>
      </w:pPr>
      <w:r>
        <w:rPr>
          <w:rFonts w:ascii="Times New Roman" w:cs="Times New Roman" w:eastAsia="Times New Roman" w:hAnsi="Times New Roman"/>
          <w:sz w:val="24"/>
          <w:szCs w:val="24"/>
        </w:rPr>
        <w:t xml:space="preserve">Placental examinations recorded individual lesions by anatomical location, including the umbilical cord, membranes, decidua, villi, and intervillous space. Consistent with contemporary classifications [15,16], individual lesions were organised by the authors into patterns of injury, as previously described for this cohort [25]. The MVM score summed the available MVM lesions (i.e., retroplacental haematoma, increased perivillous fibrin deposition, increased syncytial knots, single infarct, multiple infarcts, intervillous thrombus with adjacent villous infarction, decidual vascular thrombosis, fibrinoid necrosis, and atherosis), with one point for each lesion, and two additional points if the placenta had at least one MVM lesion and weighed less than the 10th percentile for gestational age based on an internal CPP reference [25]. Four lesions in the current MVM definition were not recorded in the CPP [25]. MVM was analysed as present (score of one or more) versus absent, as a continuous score (observed range 0 to 8), and as grade (none, low [score 1 to 2], or high [score 3 or more]).</w:t>
      </w:r>
    </w:p>
    <w:p>
      <w:pPr>
        <w:spacing w:after="0" w:before="0" w:line="480"/>
        <w:ind w:firstLine="480"/>
      </w:pPr>
      <w:r>
        <w:rPr>
          <w:rFonts w:ascii="Times New Roman" w:cs="Times New Roman" w:eastAsia="Times New Roman" w:hAnsi="Times New Roman"/>
          <w:sz w:val="24"/>
          <w:szCs w:val="24"/>
        </w:rPr>
        <w:t xml:space="preserve">AI was defined as neutrophilic infiltration, graded 0 to 3, in any of seven compartments. The amnion and chorion of the membrane roll and of the placental surface represented the maternal inflammatory response, and the umbilical vein, umbilical artery, and foetal surface vessels represented the foetal inflammatory response [15,20]. AI was analysed as present versus absent, as a score counting the number of involved compartments (0 to 7), as stage (none, low, or high) as recorded in the CPP placental dataset, and by maternal or foetal involvement (maternal response only, foetal response only, or both).</w:t>
      </w:r>
    </w:p>
    <w:p>
      <w:pPr>
        <w:keepNext/>
        <w:spacing w:after="0" w:before="240" w:line="480"/>
      </w:pPr>
      <w:r>
        <w:rPr>
          <w:rFonts w:ascii="Times New Roman" w:cs="Times New Roman" w:eastAsia="Times New Roman" w:hAnsi="Times New Roman"/>
          <w:b/>
          <w:bCs/>
          <w:i/>
          <w:iCs/>
          <w:sz w:val="24"/>
          <w:szCs w:val="24"/>
        </w:rPr>
        <w:t xml:space="preserve">2.3. Outcome</w:t>
      </w:r>
    </w:p>
    <w:p>
      <w:pPr>
        <w:spacing w:after="0" w:before="0" w:line="480"/>
        <w:ind w:firstLine="480"/>
      </w:pPr>
      <w:r>
        <w:rPr>
          <w:rFonts w:ascii="Times New Roman" w:cs="Times New Roman" w:eastAsia="Times New Roman" w:hAnsi="Times New Roman"/>
          <w:sz w:val="24"/>
          <w:szCs w:val="24"/>
        </w:rPr>
        <w:t xml:space="preserve">Study paediatricians examined surviving offspring at approximately 12 months of age using a standardised protocol and recorded IH as definite, suspect, or absent. The primary outcome was definite IH. In a sensitivity analysis, suspect cases were also classified as IH.</w:t>
      </w:r>
    </w:p>
    <w:p>
      <w:pPr>
        <w:keepNext/>
        <w:spacing w:after="0" w:before="240" w:line="480"/>
      </w:pPr>
      <w:r>
        <w:rPr>
          <w:rFonts w:ascii="Times New Roman" w:cs="Times New Roman" w:eastAsia="Times New Roman" w:hAnsi="Times New Roman"/>
          <w:b/>
          <w:bCs/>
          <w:i/>
          <w:iCs/>
          <w:sz w:val="24"/>
          <w:szCs w:val="24"/>
        </w:rPr>
        <w:t xml:space="preserve">2.4. Covariates</w:t>
      </w:r>
    </w:p>
    <w:p>
      <w:pPr>
        <w:spacing w:after="0" w:before="0" w:line="480"/>
        <w:ind w:firstLine="480"/>
      </w:pPr>
      <w:r>
        <w:rPr>
          <w:rFonts w:ascii="Times New Roman" w:cs="Times New Roman" w:eastAsia="Times New Roman" w:hAnsi="Times New Roman"/>
          <w:sz w:val="24"/>
          <w:szCs w:val="24"/>
        </w:rPr>
        <w:t xml:space="preserve">Confounders were selected a priori as potential common causes of placental pathology and IH and were measured before pregnancy or at enrolment. They were maternal age (continuous), pre-pregnancy body mass index (continuous), race and ethnicity (White [reference], Black, Puerto Rican, or other), education (less than high school [reference], some high school, high school graduate, or some college or more), annual family income (seven categories, with $4,000 to $5,999 as reference), marital status (married or common law [reference], single, or widowed, divorced, or separated), smoking (none [reference], 1 to 19, or 20 or more cigarettes per day), parity (0 [reference], 1, 2, 3, or 4 or more), pre-pregnancy diabetes, chronic hypertension, and infant sex (female [reference] or male). Race and ethnicity were included as a marker of social and structural factors that may influence both health and diagnosis. Study site was included in the primary model because placental diagnoses and IH prevalence varied across centres. Gestational age, birthweight, and hypertensive disorders arising during pregnancy were not adjusted for because they may lie on the pathway between placental pathology and IH [26]. Small for gestational age, shown descriptively, was defined as birthweight below the 10th percentile for gestational age and sex based on an internal CPP reference.</w:t>
      </w:r>
    </w:p>
    <w:p>
      <w:pPr>
        <w:keepNext/>
        <w:spacing w:after="0" w:before="240" w:line="480"/>
      </w:pPr>
      <w:r>
        <w:rPr>
          <w:rFonts w:ascii="Times New Roman" w:cs="Times New Roman" w:eastAsia="Times New Roman" w:hAnsi="Times New Roman"/>
          <w:b/>
          <w:bCs/>
          <w:i/>
          <w:iCs/>
          <w:sz w:val="24"/>
          <w:szCs w:val="24"/>
        </w:rPr>
        <w:t xml:space="preserve">2.5. Statistical analysis</w:t>
      </w:r>
    </w:p>
    <w:p>
      <w:pPr>
        <w:spacing w:after="0" w:before="0" w:line="480"/>
        <w:ind w:firstLine="480"/>
      </w:pPr>
      <w:r>
        <w:rPr>
          <w:rFonts w:ascii="Times New Roman" w:cs="Times New Roman" w:eastAsia="Times New Roman" w:hAnsi="Times New Roman"/>
          <w:sz w:val="24"/>
          <w:szCs w:val="24"/>
        </w:rPr>
        <w:t xml:space="preserve">Missing covariate data (body mass index 8.7%, income 6.3%, education 1.4%, parity 1.0%, smoking 0.8%, and less than 0.1% for other covariates) were imputed by multiple imputation by chained equations (20 datasets, 10 iterations), using all covariates, exposures, and study site as predictors [27]. Exposures and outcomes were not imputed. Estimates were combined across datasets using Rubin's rules [28].</w:t>
      </w:r>
    </w:p>
    <w:p>
      <w:pPr>
        <w:spacing w:after="0" w:before="0" w:line="480"/>
        <w:ind w:firstLine="480"/>
      </w:pPr>
      <w:r>
        <w:rPr>
          <w:rFonts w:ascii="Times New Roman" w:cs="Times New Roman" w:eastAsia="Times New Roman" w:hAnsi="Times New Roman"/>
          <w:sz w:val="24"/>
          <w:szCs w:val="24"/>
        </w:rPr>
        <w:t xml:space="preserve">Of the 45,268 infants, 1,834 (4.1%) died before the one-year examination and, among those who survived, 2,734 (6.3%) did not have an IH examination. To reduce selection bias from restricting analyses to infants with an observed outcome, stabilised inverse probability of censoring weights were estimated within each imputed dataset [29]. The denominator model included MVM, AI, all covariates, and study site, and the numerator model included an intercept only [30].</w:t>
      </w:r>
    </w:p>
    <w:p>
      <w:pPr>
        <w:spacing w:after="0" w:before="0" w:line="480"/>
        <w:ind w:firstLine="480"/>
      </w:pPr>
      <w:r>
        <w:rPr>
          <w:rFonts w:ascii="Times New Roman" w:cs="Times New Roman" w:eastAsia="Times New Roman" w:hAnsi="Times New Roman"/>
          <w:sz w:val="24"/>
          <w:szCs w:val="24"/>
        </w:rPr>
        <w:t xml:space="preserve">Relative risks (RR) and 95% confidence intervals (CI) were estimated with modified Poisson regression [31] using generalised estimating equations with an exchangeable correlation structure, to account for siblings born to the same mother [32]. The exposures, (1) MVM and (2) AI, were each examined in separate models, both as binary variables (present versus absent) and as continuous scores (MVM per point and AI per involved compartment). MVM and AI were also examined jointly using (1) a four-category joint exposure that compared placentas with MVM only, AI only, or both against placentas with neither, and (2) a mutually adjusted model that included any MVM and any AI in the same model, to estimate the association of each lesion pattern while holding the other constant. Three models were fitted for each exposure: (1) crude, (2) primary (11 covariates, study site, and weights), and (3) secondary (11 covariates and weights, without study site). For the joint exposure, additive interaction was quantified with the relative excess risk due to interaction (RERI), the attributable proportion, and the synergy index, and multiplicative interaction with the ratio of RRs, with CIs estimated by the delta method from the pooled variance-covariance matrix [33,34].</w:t>
      </w:r>
    </w:p>
    <w:p>
      <w:pPr>
        <w:spacing w:after="0" w:before="0" w:line="480"/>
        <w:ind w:firstLine="480"/>
      </w:pPr>
      <w:r>
        <w:rPr>
          <w:rFonts w:ascii="Times New Roman" w:cs="Times New Roman" w:eastAsia="Times New Roman" w:hAnsi="Times New Roman"/>
          <w:sz w:val="24"/>
          <w:szCs w:val="24"/>
        </w:rPr>
        <w:t xml:space="preserve">Sensitivity analyses examined (1) MVM grade and AI stage (i.e., none [reference], low, or high, to assess whether IH risk increased with lesion severity), (2) AI by maternal or foetal involvement (i.e., maternal response only [amnion or chorion], foetal response only [umbilical vessels or foetal surface vessels], or both, compared with no AI), (3) sequential addition of covariate groups and study site, (4) study site as a random intercept instead of a fixed effect, (5) stratification by the Boston centre, where 92.6% of placentas were examined by one pathologist [22], versus the other 11 centres, and (6) the broader outcome that included suspect IH. All analyses were conducted in R version 4.3.3.</w:t>
      </w:r>
    </w:p>
    <w:p>
      <w:pPr>
        <w:keepNext/>
        <w:spacing w:after="0" w:before="240" w:line="480"/>
      </w:pPr>
      <w:r>
        <w:rPr>
          <w:rFonts w:ascii="Times New Roman" w:cs="Times New Roman" w:eastAsia="Times New Roman" w:hAnsi="Times New Roman"/>
          <w:b/>
          <w:bCs/>
          <w:i w:val="false"/>
          <w:iCs w:val="false"/>
          <w:sz w:val="24"/>
          <w:szCs w:val="24"/>
        </w:rPr>
        <w:t xml:space="preserve">3. Results</w:t>
      </w:r>
    </w:p>
    <w:p>
      <w:pPr>
        <w:keepNext/>
        <w:spacing w:after="0" w:before="240" w:line="480"/>
      </w:pPr>
      <w:r>
        <w:rPr>
          <w:rFonts w:ascii="Times New Roman" w:cs="Times New Roman" w:eastAsia="Times New Roman" w:hAnsi="Times New Roman"/>
          <w:b/>
          <w:bCs/>
          <w:i/>
          <w:iCs/>
          <w:sz w:val="24"/>
          <w:szCs w:val="24"/>
        </w:rPr>
        <w:t xml:space="preserve">3.1. Participants</w:t>
      </w:r>
    </w:p>
    <w:p>
      <w:pPr>
        <w:spacing w:after="0" w:before="0" w:line="480"/>
        <w:ind w:firstLine="480"/>
      </w:pPr>
      <w:r>
        <w:rPr>
          <w:rFonts w:ascii="Times New Roman" w:cs="Times New Roman" w:eastAsia="Times New Roman" w:hAnsi="Times New Roman"/>
          <w:sz w:val="24"/>
          <w:szCs w:val="24"/>
        </w:rPr>
        <w:t xml:space="preserve">Of 45,268 pregnancies, 29.0% (13,119) had any MVM, 22.5% (10,188) had any AI, and 7.9% (3,554) had both (Table 1). Pregnancies with MVM more often involved women with less than a high school education (19.7% vs 16.3%), pre-pregnancy diabetes (2.1% vs 1.3%), and chronic hypertension (6.3% vs 5.6%). Pregnancies with AI more often involved White women (52.3% vs 47.0%), heavy smoking (20.5% vs 16.6%), and male infants (53.4% vs 50.2%). Of the 40,700 infants (89.9%) examined at one year, 1.7% (700) had definite IH and a further 0.6% (230) had suspect IH (Supplementary Table S1). Across centres, any MVM ranged from 9.8% to 80.3%, any AI from 14.5% to 38.1%, and definite IH from 0.4% to 3.6%, with Boston contributing 41.4% (290/700) of IH cases (Supplementary Table S2).</w:t>
      </w:r>
    </w:p>
    <w:p>
      <w:pPr>
        <w:keepNext/>
        <w:spacing w:after="0" w:before="240" w:line="480"/>
      </w:pPr>
      <w:r>
        <w:rPr>
          <w:rFonts w:ascii="Times New Roman" w:cs="Times New Roman" w:eastAsia="Times New Roman" w:hAnsi="Times New Roman"/>
          <w:b/>
          <w:bCs/>
          <w:i/>
          <w:iCs/>
          <w:sz w:val="24"/>
          <w:szCs w:val="24"/>
        </w:rPr>
        <w:t xml:space="preserve">3.2. Joint exposure to MVM and AI</w:t>
      </w:r>
    </w:p>
    <w:p>
      <w:pPr>
        <w:spacing w:after="0" w:before="0" w:line="480"/>
        <w:ind w:firstLine="480"/>
      </w:pPr>
      <w:r>
        <w:rPr>
          <w:rFonts w:ascii="Times New Roman" w:cs="Times New Roman" w:eastAsia="Times New Roman" w:hAnsi="Times New Roman"/>
          <w:sz w:val="24"/>
          <w:szCs w:val="24"/>
        </w:rPr>
        <w:t xml:space="preserve">IH risk was higher for infants whose placentas showed both MVM and AI (2.4%, 70/2,895) than for those whose placentas showed neither (1.6%, 364/23,391) (RR 1.37, 95% CI 1.05, 1.78) (Table 2). Estimates for placentas with MVM only or AI only were close to the null (Table 2). The RERI was 0.22 (95% CI −0.20, 0.64), the attributable proportion was 0.16 (95% CI −0.12, 0.44), and the ratio of RRs was 1.18 (95% CI 0.83, 1.68), compatible with, but not establishing, interaction on either scale (Supplementary Table S3).</w:t>
      </w:r>
    </w:p>
    <w:p>
      <w:pPr>
        <w:keepNext/>
        <w:spacing w:after="0" w:before="240" w:line="480"/>
      </w:pPr>
      <w:r>
        <w:rPr>
          <w:rFonts w:ascii="Times New Roman" w:cs="Times New Roman" w:eastAsia="Times New Roman" w:hAnsi="Times New Roman"/>
          <w:b/>
          <w:bCs/>
          <w:i/>
          <w:iCs/>
          <w:sz w:val="24"/>
          <w:szCs w:val="24"/>
        </w:rPr>
        <w:t xml:space="preserve">3.3. MVM, AI, and IH</w:t>
      </w:r>
    </w:p>
    <w:p>
      <w:pPr>
        <w:spacing w:after="0" w:before="0" w:line="480"/>
        <w:ind w:firstLine="480"/>
      </w:pPr>
      <w:r>
        <w:rPr>
          <w:rFonts w:ascii="Times New Roman" w:cs="Times New Roman" w:eastAsia="Times New Roman" w:hAnsi="Times New Roman"/>
          <w:sz w:val="24"/>
          <w:szCs w:val="24"/>
        </w:rPr>
        <w:t xml:space="preserve">IH occurred in 2.0% (225/11,324) of infants with MVM and 1.6% (475/29,376) of those without, and in 2.0% (181/8,880) of infants with AI and 1.6% (519/31,820) of those without (Table 2). In the primary model, MVM (RR 1.14, 95% CI 0.96, 1.35) and AI (RR 1.14, 95% CI 0.96, 1.35) were each associated with a small but imprecise increase in IH risk, as were the MVM score (per point, RR 1.05, 95% CI 0.97, 1.15) and the AI score (per involved compartment, RR 1.03, 95% CI 0.98, 1.08). Estimates were unchanged in the mutually adjusted model (Supplementary Table S4) and were larger in the secondary model without study site (MVM RR 1.25, 95% CI 1.07, 1.46, and AI RR 1.20, 95% CI 1.02, 1.42).</w:t>
      </w:r>
    </w:p>
    <w:p>
      <w:pPr>
        <w:keepNext/>
        <w:spacing w:after="0" w:before="240" w:line="480"/>
      </w:pPr>
      <w:r>
        <w:rPr>
          <w:rFonts w:ascii="Times New Roman" w:cs="Times New Roman" w:eastAsia="Times New Roman" w:hAnsi="Times New Roman"/>
          <w:b/>
          <w:bCs/>
          <w:i/>
          <w:iCs/>
          <w:sz w:val="24"/>
          <w:szCs w:val="24"/>
        </w:rPr>
        <w:t xml:space="preserve">3.4. Sensitivity analyses</w:t>
      </w:r>
    </w:p>
    <w:p>
      <w:pPr>
        <w:spacing w:after="0" w:before="0" w:line="480"/>
        <w:ind w:firstLine="480"/>
      </w:pPr>
      <w:r>
        <w:rPr>
          <w:rFonts w:ascii="Times New Roman" w:cs="Times New Roman" w:eastAsia="Times New Roman" w:hAnsi="Times New Roman"/>
          <w:sz w:val="24"/>
          <w:szCs w:val="24"/>
        </w:rPr>
        <w:t xml:space="preserve">IH risk did not increase with MVM grade or AI stage (Supplementary Table S5), and estimates were similar for maternal-only, foetal-only, and combined inflammatory responses (Supplementary Table S6). Adjustment for the 11 covariates changed estimates little, whereas adding study site attenuated them (Supplementary Table S7). Results were similar when study site was modelled as a random effect (Supplementary Table S8). Estimates for MVM were similar in Boston and the other 11 centres, whereas the estimate for AI was higher in Boston, where AI was also recorded more often (Supplementary Table S9). Results were also similar when suspect IH was included in the outcome (Supplementary Table S10).</w:t>
      </w:r>
    </w:p>
    <w:p>
      <w:pPr>
        <w:keepNext/>
        <w:spacing w:after="0" w:before="240" w:line="480"/>
      </w:pPr>
      <w:r>
        <w:rPr>
          <w:rFonts w:ascii="Times New Roman" w:cs="Times New Roman" w:eastAsia="Times New Roman" w:hAnsi="Times New Roman"/>
          <w:b/>
          <w:bCs/>
          <w:i w:val="false"/>
          <w:iCs w:val="false"/>
          <w:sz w:val="24"/>
          <w:szCs w:val="24"/>
        </w:rPr>
        <w:t xml:space="preserve">4. Discussion</w:t>
      </w:r>
    </w:p>
    <w:p>
      <w:pPr>
        <w:spacing w:after="0" w:before="0" w:line="480"/>
        <w:ind w:firstLine="480"/>
      </w:pPr>
      <w:r>
        <w:rPr>
          <w:rFonts w:ascii="Times New Roman" w:cs="Times New Roman" w:eastAsia="Times New Roman" w:hAnsi="Times New Roman"/>
          <w:sz w:val="24"/>
          <w:szCs w:val="24"/>
        </w:rPr>
        <w:t xml:space="preserve">In this prospective cohort of 45,268 singleton pregnancies, IH risk was higher among infants whose placentas showed both MVM and AI than among those whose placentas showed neither. MVM and AI alone were each associated with small, imprecise increases in IH risk, and risk did not increase with MVM grade or AI stage.</w:t>
      </w:r>
    </w:p>
    <w:p>
      <w:pPr>
        <w:keepNext/>
        <w:spacing w:after="0" w:before="240" w:line="480"/>
      </w:pPr>
      <w:r>
        <w:rPr>
          <w:rFonts w:ascii="Times New Roman" w:cs="Times New Roman" w:eastAsia="Times New Roman" w:hAnsi="Times New Roman"/>
          <w:b/>
          <w:bCs/>
          <w:i/>
          <w:iCs/>
          <w:sz w:val="24"/>
          <w:szCs w:val="24"/>
        </w:rPr>
        <w:t xml:space="preserve">4.1. Comparison with previous studies</w:t>
      </w:r>
    </w:p>
    <w:p>
      <w:pPr>
        <w:spacing w:after="0" w:before="0" w:line="480"/>
        <w:ind w:firstLine="480"/>
      </w:pPr>
      <w:r>
        <w:rPr>
          <w:rFonts w:ascii="Times New Roman" w:cs="Times New Roman" w:eastAsia="Times New Roman" w:hAnsi="Times New Roman"/>
          <w:sz w:val="24"/>
          <w:szCs w:val="24"/>
        </w:rPr>
        <w:t xml:space="preserve">The higher risk of IH with co-occurring MVM and AI is consistent with earlier studies reporting that placental abnormalities were more common in pregnancies affected by IH [7,18]. Among 26 very-low-birthweight infants, extensive infarction or retroplacental haematoma was found in all 13 placentas of infants with IH, with chorioamnionitis or funisitis in some [18]. In a cohort of 594 infants, placental anomalies, largely clinically defined conditions such as pre-eclampsia and placenta praevia, were approximately twice as common in IH-affected pregnancies [7]. Neither study examined the co-occurrence of MVM and AI or adjusted for confounding. The smaller and imprecise associations for MVM or AI alone are consistent with studies of hypertensive disorders of pregnancy, a complication frequently accompanied by MVM [35]. A previous CPP analysis found no clear association between hypertensive disorders of pregnancy and IH [36], and in administrative data the association between pre-eclampsia and IH largely reflected greater surveillance of infants with longer neonatal stays [37]. Together, these findings suggest that a combined placental profile involving both ischaemic and inflammatory injury, rather than either pattern alone, may contribute to the development of a subgroup of IH.</w:t>
      </w:r>
    </w:p>
    <w:p>
      <w:pPr>
        <w:keepNext/>
        <w:spacing w:after="0" w:before="240" w:line="480"/>
      </w:pPr>
      <w:r>
        <w:rPr>
          <w:rFonts w:ascii="Times New Roman" w:cs="Times New Roman" w:eastAsia="Times New Roman" w:hAnsi="Times New Roman"/>
          <w:b/>
          <w:bCs/>
          <w:i/>
          <w:iCs/>
          <w:sz w:val="24"/>
          <w:szCs w:val="24"/>
        </w:rPr>
        <w:t xml:space="preserve">4.2. Biological interpretation</w:t>
      </w:r>
    </w:p>
    <w:p>
      <w:pPr>
        <w:spacing w:after="0" w:before="0" w:line="480"/>
        <w:ind w:firstLine="480"/>
      </w:pPr>
      <w:r>
        <w:rPr>
          <w:rFonts w:ascii="Times New Roman" w:cs="Times New Roman" w:eastAsia="Times New Roman" w:hAnsi="Times New Roman"/>
          <w:sz w:val="24"/>
          <w:szCs w:val="24"/>
        </w:rPr>
        <w:t xml:space="preserve">The higher risk when MVM and AI co-occurred is compatible with a multiple-hit model in which vascular and inflammatory insults converge on foetal angiogenic signalling [2,17]. Placental hypoxia has been proposed as the initiating event in a cascade of intrauterine insults that contribute to IH [11,14]. MVM lesions such as infarction, retroplacental haematoma, and increased perivillous fibrin deposition reduce the transfer of oxygen across the villi and may result in chronic foetal hypoxic stress. Hypoxia and oxidative stress can themselves induce sterile placental inflammation [38], and AI, presenting as chorioamnionitis, funisitis, or chorionic vasculitis, increases inflammatory signalling that may compound hypoxic and ischaemic injury [17]. Consistent with the predominantly postnatal growth of IH, these antenatal placental injuries may prime a susceptible population of endothelial progenitor cells, whereas postnatal hormonal and angiogenic signals determine whether they proliferate [2,3]. Although the biology of MVM and AI is closely interrelated, the statistical interaction estimate in this study was imprecise and compatible with no departure from additivity.</w:t>
      </w:r>
    </w:p>
    <w:p>
      <w:pPr>
        <w:spacing w:after="0" w:before="0" w:line="480"/>
        <w:ind w:firstLine="480"/>
      </w:pPr>
      <w:r>
        <w:rPr>
          <w:rFonts w:ascii="Times New Roman" w:cs="Times New Roman" w:eastAsia="Times New Roman" w:hAnsi="Times New Roman"/>
          <w:sz w:val="24"/>
          <w:szCs w:val="24"/>
        </w:rPr>
        <w:t xml:space="preserve">The small and imprecise relative risks for individual placental pathologies suggest that placental injury is only one aspect of the complex developmental pathology of IH. In some cases, MVM or AI alone may be sufficient to modestly increase the probability of endothelial progenitor cell proliferation.</w:t>
      </w:r>
    </w:p>
    <w:p>
      <w:pPr>
        <w:keepNext/>
        <w:spacing w:after="0" w:before="240" w:line="480"/>
      </w:pPr>
      <w:r>
        <w:rPr>
          <w:rFonts w:ascii="Times New Roman" w:cs="Times New Roman" w:eastAsia="Times New Roman" w:hAnsi="Times New Roman"/>
          <w:b/>
          <w:bCs/>
          <w:i/>
          <w:iCs/>
          <w:sz w:val="24"/>
          <w:szCs w:val="24"/>
        </w:rPr>
        <w:t xml:space="preserve">4.3. Strengths and limitations</w:t>
      </w:r>
    </w:p>
    <w:p>
      <w:pPr>
        <w:spacing w:after="0" w:before="0" w:line="480"/>
        <w:ind w:firstLine="480"/>
      </w:pPr>
      <w:r>
        <w:rPr>
          <w:rFonts w:ascii="Times New Roman" w:cs="Times New Roman" w:eastAsia="Times New Roman" w:hAnsi="Times New Roman"/>
          <w:sz w:val="24"/>
          <w:szCs w:val="24"/>
        </w:rPr>
        <w:t xml:space="preserve">Strengths of this study include its prospective design, in which placentas were examined at delivery before any infant outcome was known, and the standardised paediatrician examination of all surviving infants regardless of exposure, which avoids the referral and surveillance biases of clinic-based and administrative studies. More than 45,000 placentas were examined under a common protocol, making this the largest study of placental histopathology and IH and the first to examine co-occurring MVM and AI. The analysis addressed confounding by centre, missing covariate data, selection due to death and loss to follow-up, and clustering of siblings.</w:t>
      </w:r>
    </w:p>
    <w:p>
      <w:pPr>
        <w:spacing w:after="0" w:before="0" w:line="480"/>
        <w:ind w:firstLine="480"/>
      </w:pPr>
      <w:r>
        <w:rPr>
          <w:rFonts w:ascii="Times New Roman" w:cs="Times New Roman" w:eastAsia="Times New Roman" w:hAnsi="Times New Roman"/>
          <w:sz w:val="24"/>
          <w:szCs w:val="24"/>
        </w:rPr>
        <w:t xml:space="preserve">Several limitations should be considered. First, despite the size of the cohort, IH is uncommon, and the study had limited power to detect small associations or interaction. Second, the CPP predates the Amsterdam consensus, and four lesions in the current MVM definition were not recorded [25]. Third, diagnostic thresholds varied widely across centres (e.g., MVM was recorded in 9.8% to 80.3% of placentas), which confounded estimates before adjustment for study site, and both random and centre-specific exposure misclassification are likely. Fourth, IH was ascertained at a single examination at 12 months. Most IH reach their maximum size by five months of age and remain visible at one year [3], but small or involuting lesions may have been missed, and the diagnostic categories of the 1960s predate the modern classification of vascular anomalies. Outcome misclassification unrelated to placental pathology would most likely attenuate associations. Fifth, AI generally reflects an inflammatory process close to delivery, and an effect on IH would require a systemic foetal inflammatory response with lasting consequences [39]. Finally, residual confounding is possible, including by maternal history of angioma, an established risk factor that was not recorded [40].</w:t>
      </w:r>
    </w:p>
    <w:p>
      <w:pPr>
        <w:keepNext/>
        <w:spacing w:after="0" w:before="240" w:line="480"/>
      </w:pPr>
      <w:r>
        <w:rPr>
          <w:rFonts w:ascii="Times New Roman" w:cs="Times New Roman" w:eastAsia="Times New Roman" w:hAnsi="Times New Roman"/>
          <w:b/>
          <w:bCs/>
          <w:i/>
          <w:iCs/>
          <w:sz w:val="24"/>
          <w:szCs w:val="24"/>
        </w:rPr>
        <w:t xml:space="preserve">4.4. Future directions</w:t>
      </w:r>
    </w:p>
    <w:p>
      <w:pPr>
        <w:spacing w:after="0" w:before="0" w:line="480"/>
        <w:ind w:firstLine="480"/>
      </w:pPr>
      <w:r>
        <w:rPr>
          <w:rFonts w:ascii="Times New Roman" w:cs="Times New Roman" w:eastAsia="Times New Roman" w:hAnsi="Times New Roman"/>
          <w:sz w:val="24"/>
          <w:szCs w:val="24"/>
        </w:rPr>
        <w:t xml:space="preserve">Confirming these findings would require a considerably larger cohort with systematic placental examination, which is difficult because placentas are rarely sent for pathological examination without a clinical indication. Future studies should also link placental lesions to cord-blood markers of foetal inflammation and hypoxia, and to serial dermatological examinations during the first months of life, which may distinguish maternal from foetal effects and capture both the occurrence and growth of IH. Formal mediation analyses through preterm birth and foetal growth would clarify whether any effect of placental injury on IH operates through these pathways. Modifiable upstream determinants of placental injury, such as maternal diet, environmental exposures, and hypertensive disorders, are a research priority.</w:t>
      </w:r>
    </w:p>
    <w:p>
      <w:pPr>
        <w:keepNext/>
        <w:spacing w:after="0" w:before="240" w:line="480"/>
      </w:pPr>
      <w:r>
        <w:rPr>
          <w:rFonts w:ascii="Times New Roman" w:cs="Times New Roman" w:eastAsia="Times New Roman" w:hAnsi="Times New Roman"/>
          <w:b/>
          <w:bCs/>
          <w:i w:val="false"/>
          <w:iCs w:val="false"/>
          <w:sz w:val="24"/>
          <w:szCs w:val="24"/>
        </w:rPr>
        <w:t xml:space="preserve">5. Conclusion</w:t>
      </w:r>
    </w:p>
    <w:p>
      <w:pPr>
        <w:spacing w:after="0" w:before="0" w:line="480"/>
        <w:ind w:firstLine="480"/>
      </w:pPr>
      <w:r>
        <w:rPr>
          <w:rFonts w:ascii="Times New Roman" w:cs="Times New Roman" w:eastAsia="Times New Roman" w:hAnsi="Times New Roman"/>
          <w:sz w:val="24"/>
          <w:szCs w:val="24"/>
        </w:rPr>
        <w:t xml:space="preserve">In this large prospective cohort, placentas with both MVM and AI carried a higher risk of IH, suggesting that chronic malperfusion and acute inflammation closer to delivery may act together in the development of IH. MVM and AI alone were associated with small, imprecise increases in risk. These findings support further study of combined placental injury in the developmental origins of IH.</w:t>
      </w:r>
    </w:p>
    <w:p>
      <w:pPr>
        <w:keepNext/>
        <w:spacing w:after="0" w:before="240" w:line="480"/>
      </w:pPr>
      <w:r>
        <w:rPr>
          <w:rFonts w:ascii="Times New Roman" w:cs="Times New Roman" w:eastAsia="Times New Roman" w:hAnsi="Times New Roman"/>
          <w:b/>
          <w:bCs/>
          <w:i w:val="false"/>
          <w:iCs w:val="false"/>
          <w:sz w:val="24"/>
          <w:szCs w:val="24"/>
        </w:rPr>
        <w:t xml:space="preserve">CRediT authorship contribution statement</w:t>
      </w:r>
    </w:p>
    <w:p>
      <w:pPr>
        <w:spacing w:after="0" w:before="0" w:line="480"/>
      </w:pPr>
      <w:r>
        <w:rPr>
          <w:rFonts w:ascii="Times New Roman" w:cs="Times New Roman" w:eastAsia="Times New Roman" w:hAnsi="Times New Roman"/>
          <w:sz w:val="24"/>
          <w:szCs w:val="24"/>
        </w:rPr>
        <w:t xml:space="preserve">Jessica J. Wong: Conceptualization, Methodology, Formal analysis, Data curation, Visualization, Funding acquisition, Writing – original draft. Sunni L. Mumford: Methodology, Writing – review &amp; editing. Alexa A. Freedman: Data curation, Methodology, Writing – review &amp; editing. Linda M. Ernst: Methodology, Writing – review &amp; editing. Yajnaseni Chakraborti: Data curation, Methodology, Writing – review &amp; editing. David J. Margolis: Conceptualization, Writing – review &amp; editing. Ellen C. Caniglia: Methodology, Writing – review &amp; editing. Enrique F. Schisterman: Methodology, Writing – review &amp; editing. Stefanie N. Hinkle: Conceptualization, Methodology, Supervision, Writing – review &amp; editing. Ellen C. Francis: Conceptualization, Methodology, Supervision, Writing – review &amp; editing.</w:t>
      </w:r>
    </w:p>
    <w:p>
      <w:pPr>
        <w:keepNext/>
        <w:spacing w:after="0" w:before="240" w:line="480"/>
      </w:pPr>
      <w:r>
        <w:rPr>
          <w:rFonts w:ascii="Times New Roman" w:cs="Times New Roman" w:eastAsia="Times New Roman" w:hAnsi="Times New Roman"/>
          <w:b/>
          <w:bCs/>
          <w:i w:val="false"/>
          <w:iCs w:val="false"/>
          <w:sz w:val="24"/>
          <w:szCs w:val="24"/>
        </w:rPr>
        <w:t xml:space="preserve">Declaration of competing interest</w:t>
      </w:r>
    </w:p>
    <w:p>
      <w:pPr>
        <w:spacing w:after="0" w:before="0" w:line="480"/>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keepNext/>
        <w:spacing w:after="0" w:before="240" w:line="480"/>
      </w:pPr>
      <w:r>
        <w:rPr>
          <w:rFonts w:ascii="Times New Roman" w:cs="Times New Roman" w:eastAsia="Times New Roman" w:hAnsi="Times New Roman"/>
          <w:b/>
          <w:bCs/>
          <w:i w:val="false"/>
          <w:iCs w:val="false"/>
          <w:sz w:val="24"/>
          <w:szCs w:val="24"/>
        </w:rPr>
        <w:t xml:space="preserve">Funding</w:t>
      </w:r>
    </w:p>
    <w:p>
      <w:pPr>
        <w:spacing w:after="0" w:before="0" w:line="480"/>
      </w:pPr>
      <w:r>
        <w:rPr>
          <w:rFonts w:ascii="Times New Roman" w:cs="Times New Roman" w:eastAsia="Times New Roman" w:hAnsi="Times New Roman"/>
          <w:sz w:val="24"/>
          <w:szCs w:val="24"/>
        </w:rPr>
        <w:t xml:space="preserve">This work was supported by (1) the National Institute of Allergy and Infectious Diseases of the National Institutes of Health (F31AI198148, JJW) and (2) a National Research Grant from The Gerber Foundation (10105208, JJW). The funders had no role in the study design, collection, analysis or interpretation of data, writing of the report, or the decision to submit the article for publication.</w:t>
      </w:r>
    </w:p>
    <w:p>
      <w:pPr>
        <w:keepNext/>
        <w:spacing w:after="0" w:before="240" w:line="480"/>
      </w:pPr>
      <w:r>
        <w:rPr>
          <w:rFonts w:ascii="Times New Roman" w:cs="Times New Roman" w:eastAsia="Times New Roman" w:hAnsi="Times New Roman"/>
          <w:b/>
          <w:bCs/>
          <w:i w:val="false"/>
          <w:iCs w:val="false"/>
          <w:sz w:val="24"/>
          <w:szCs w:val="24"/>
        </w:rPr>
        <w:t xml:space="preserve">Acknowledgements</w:t>
      </w:r>
    </w:p>
    <w:p>
      <w:pPr>
        <w:spacing w:after="0" w:before="0" w:line="480"/>
      </w:pPr>
      <w:r>
        <w:rPr>
          <w:rFonts w:ascii="Times New Roman" w:cs="Times New Roman" w:eastAsia="Times New Roman" w:hAnsi="Times New Roman"/>
          <w:sz w:val="24"/>
          <w:szCs w:val="24"/>
        </w:rPr>
        <w:t xml:space="preserve">The authors thank the women and children who participated in the Collaborative Perinatal Project, the study staff at the 12 clinical centres, and the US National Archives and Records Administration for providing access to the study data (https://www.archives.gov/research/electronic-records/nih.html).</w:t>
      </w:r>
    </w:p>
    <w:p>
      <w:pPr>
        <w:keepNext/>
        <w:spacing w:after="0" w:before="240" w:line="480"/>
      </w:pPr>
      <w:r>
        <w:rPr>
          <w:rFonts w:ascii="Times New Roman" w:cs="Times New Roman" w:eastAsia="Times New Roman" w:hAnsi="Times New Roman"/>
          <w:b/>
          <w:bCs/>
          <w:i w:val="false"/>
          <w:iCs w:val="false"/>
          <w:sz w:val="24"/>
          <w:szCs w:val="24"/>
        </w:rPr>
        <w:t xml:space="preserve">Data availability</w:t>
      </w:r>
    </w:p>
    <w:p>
      <w:pPr>
        <w:spacing w:after="0" w:before="0" w:line="480"/>
      </w:pPr>
      <w:r>
        <w:rPr>
          <w:rFonts w:ascii="Times New Roman" w:cs="Times New Roman" w:eastAsia="Times New Roman" w:hAnsi="Times New Roman"/>
          <w:sz w:val="24"/>
          <w:szCs w:val="24"/>
        </w:rPr>
        <w:t xml:space="preserve">The Collaborative Perinatal Project data are publicly available through the US National Archives and Records Administration (Identifier: 606622). Analysis code is available from the corresponding author on request.</w:t>
      </w:r>
    </w:p>
    <w:p>
      <w:pPr>
        <w:keepNext/>
        <w:spacing w:after="0" w:before="240" w:line="480"/>
      </w:pPr>
      <w:r>
        <w:rPr>
          <w:rFonts w:ascii="Times New Roman" w:cs="Times New Roman" w:eastAsia="Times New Roman" w:hAnsi="Times New Roman"/>
          <w:b/>
          <w:bCs/>
          <w:i w:val="false"/>
          <w:iCs w:val="false"/>
          <w:sz w:val="24"/>
          <w:szCs w:val="24"/>
        </w:rPr>
        <w:t xml:space="preserve">Declaration of generative AI and AI-assisted technologies in the manuscript preparation process</w:t>
      </w:r>
    </w:p>
    <w:p>
      <w:pPr>
        <w:spacing w:after="0" w:before="0" w:line="480"/>
      </w:pPr>
      <w:r>
        <w:rPr>
          <w:rFonts w:ascii="Times New Roman" w:cs="Times New Roman" w:eastAsia="Times New Roman" w:hAnsi="Times New Roman"/>
          <w:sz w:val="24"/>
          <w:szCs w:val="24"/>
        </w:rPr>
        <w:t xml:space="preserve">During the preparation of this work the authors used Claude (Anthropic) to assist with statistical programming, checking of analyses, and drafting and language editing of the manuscript, and ChatGPT Deep Research (OpenAI) to assist with literature searching. After using these tools, the authors reviewed and edited the content as needed and take full responsibility for the content of the published article.</w:t>
      </w:r>
    </w:p>
    <w:p>
      <w:pPr>
        <w:keepNext/>
        <w:spacing w:after="0" w:before="240" w:line="480"/>
      </w:pPr>
      <w:r>
        <w:rPr>
          <w:rFonts w:ascii="Times New Roman" w:cs="Times New Roman" w:eastAsia="Times New Roman" w:hAnsi="Times New Roman"/>
          <w:b/>
          <w:bCs/>
          <w:i w:val="false"/>
          <w:iCs w:val="false"/>
          <w:sz w:val="24"/>
          <w:szCs w:val="24"/>
        </w:rPr>
        <w:t xml:space="preserve">References</w:t>
      </w:r>
    </w:p>
    <w:p>
      <w:pPr>
        <w:spacing w:after="0" w:before="0" w:line="360"/>
        <w:ind w:left="480" w:hanging="480"/>
      </w:pPr>
      <w:r>
        <w:rPr>
          <w:rFonts w:ascii="Times New Roman" w:cs="Times New Roman" w:eastAsia="Times New Roman" w:hAnsi="Times New Roman"/>
          <w:sz w:val="24"/>
          <w:szCs w:val="24"/>
        </w:rPr>
        <w:t xml:space="preserve">[1] Y. Sun, J. Zhao, Y. Meng, et al., The prevalence, complications, and risk factors for infantile hemangioma: a systematic review and meta-analysis, Int. J. Dermatol. 63 (2024) 737-746. https://doi.org/10.1111/ijd.17062</w:t>
      </w:r>
    </w:p>
    <w:p>
      <w:pPr>
        <w:spacing w:after="0" w:before="0" w:line="360"/>
        <w:ind w:left="480" w:hanging="480"/>
      </w:pPr>
      <w:r>
        <w:rPr>
          <w:rFonts w:ascii="Times New Roman" w:cs="Times New Roman" w:eastAsia="Times New Roman" w:hAnsi="Times New Roman"/>
          <w:sz w:val="24"/>
          <w:szCs w:val="24"/>
        </w:rPr>
        <w:t xml:space="preserve">[2] A. Holm, J.B. Mulliken, J. Bischoff, Infantile hemangioma: the common and enigmatic vascular tumor, J. Clin. Invest. 134 (2024) e172836. https://doi.org/10.1172/JCI172836</w:t>
      </w:r>
    </w:p>
    <w:p>
      <w:pPr>
        <w:spacing w:after="0" w:before="0" w:line="360"/>
        <w:ind w:left="480" w:hanging="480"/>
      </w:pPr>
      <w:r>
        <w:rPr>
          <w:rFonts w:ascii="Times New Roman" w:cs="Times New Roman" w:eastAsia="Times New Roman" w:hAnsi="Times New Roman"/>
          <w:sz w:val="24"/>
          <w:szCs w:val="24"/>
        </w:rPr>
        <w:t xml:space="preserve">[3] L.C. Chang, A.N. Haggstrom, B.A. Drolet, et al., Growth characteristics of infantile hemangiomas: implications for management, Pediatrics 122 (2008) 360-367. https://doi.org/10.1542/peds.2007-2767</w:t>
      </w:r>
    </w:p>
    <w:p>
      <w:pPr>
        <w:spacing w:after="0" w:before="0" w:line="360"/>
        <w:ind w:left="480" w:hanging="480"/>
      </w:pPr>
      <w:r>
        <w:rPr>
          <w:rFonts w:ascii="Times New Roman" w:cs="Times New Roman" w:eastAsia="Times New Roman" w:hAnsi="Times New Roman"/>
          <w:sz w:val="24"/>
          <w:szCs w:val="24"/>
        </w:rPr>
        <w:t xml:space="preserve">[4] C. Léauté-Labrèze, J.I. Harper, P.H. Hoeger, Infantile haemangioma, Lancet 390 (2017) 85-94. https://doi.org/10.1016/S0140-6736(16)00645-0</w:t>
      </w:r>
    </w:p>
    <w:p>
      <w:pPr>
        <w:spacing w:after="0" w:before="0" w:line="360"/>
        <w:ind w:left="480" w:hanging="480"/>
      </w:pPr>
      <w:r>
        <w:rPr>
          <w:rFonts w:ascii="Times New Roman" w:cs="Times New Roman" w:eastAsia="Times New Roman" w:hAnsi="Times New Roman"/>
          <w:sz w:val="24"/>
          <w:szCs w:val="24"/>
        </w:rPr>
        <w:t xml:space="preserve">[5] Y. Ding, J.Z. Zhang, S.R. Yu, F. Xiang, X.J. Kang, Risk factors for infantile hemangioma: a meta-analysis, World J. Pediatr. 16 (2020) 377-384. https://doi.org/10.1007/s12519-019-00327-2</w:t>
      </w:r>
    </w:p>
    <w:p>
      <w:pPr>
        <w:spacing w:after="0" w:before="0" w:line="360"/>
        <w:ind w:left="480" w:hanging="480"/>
      </w:pPr>
      <w:r>
        <w:rPr>
          <w:rFonts w:ascii="Times New Roman" w:cs="Times New Roman" w:eastAsia="Times New Roman" w:hAnsi="Times New Roman"/>
          <w:sz w:val="24"/>
          <w:szCs w:val="24"/>
        </w:rPr>
        <w:t xml:space="preserve">[6] A.N. Haggstrom, B.A. Drolet, E. Baselga, et al., Prospective study of infantile hemangiomas: demographic, prenatal, and perinatal characteristics, J. Pediatr. 150 (2007) 291-294. https://doi.org/10.1016/j.jpeds.2006.12.003</w:t>
      </w:r>
    </w:p>
    <w:p>
      <w:pPr>
        <w:spacing w:after="0" w:before="0" w:line="360"/>
        <w:ind w:left="480" w:hanging="480"/>
      </w:pPr>
      <w:r>
        <w:rPr>
          <w:rFonts w:ascii="Times New Roman" w:cs="Times New Roman" w:eastAsia="Times New Roman" w:hAnsi="Times New Roman"/>
          <w:sz w:val="24"/>
          <w:szCs w:val="24"/>
        </w:rPr>
        <w:t xml:space="preserve">[7] A. Munden, R. Butschek, W.L. Tom, et al., Prospective study of infantile haemangiomas: incidence, clinical characteristics and association with placental anomalies, Br. J. Dermatol. 170 (2014) 907-913. https://doi.org/10.1111/bjd.12804</w:t>
      </w:r>
    </w:p>
    <w:p>
      <w:pPr>
        <w:spacing w:after="0" w:before="0" w:line="360"/>
        <w:ind w:left="480" w:hanging="480"/>
      </w:pPr>
      <w:r>
        <w:rPr>
          <w:rFonts w:ascii="Times New Roman" w:cs="Times New Roman" w:eastAsia="Times New Roman" w:hAnsi="Times New Roman"/>
          <w:sz w:val="24"/>
          <w:szCs w:val="24"/>
        </w:rPr>
        <w:t xml:space="preserve">[8] J. Schoch, M. Hunjan, K. Anderson, et al., Temporal trends in prenatal risk factors for the development of infantile hemangiomas, Pediatr. Dermatol. 35 (2018) 787-791. https://doi.org/10.1111/pde.13659</w:t>
      </w:r>
    </w:p>
    <w:p>
      <w:pPr>
        <w:spacing w:after="0" w:before="0" w:line="360"/>
        <w:ind w:left="480" w:hanging="480"/>
      </w:pPr>
      <w:r>
        <w:rPr>
          <w:rFonts w:ascii="Times New Roman" w:cs="Times New Roman" w:eastAsia="Times New Roman" w:hAnsi="Times New Roman"/>
          <w:sz w:val="24"/>
          <w:szCs w:val="24"/>
        </w:rPr>
        <w:t xml:space="preserve">[9] P.E. North, M. Waner, A. Mizeracki, et al., A unique microvascular phenotype shared by juvenile hemangiomas and human placenta, Arch. Dermatol. 137 (2001) 559-570. https://doi.org/10.1001/archderm.137.5.559</w:t>
      </w:r>
    </w:p>
    <w:p>
      <w:pPr>
        <w:spacing w:after="0" w:before="0" w:line="360"/>
        <w:ind w:left="480" w:hanging="480"/>
      </w:pPr>
      <w:r>
        <w:rPr>
          <w:rFonts w:ascii="Times New Roman" w:cs="Times New Roman" w:eastAsia="Times New Roman" w:hAnsi="Times New Roman"/>
          <w:sz w:val="24"/>
          <w:szCs w:val="24"/>
        </w:rPr>
        <w:t xml:space="preserve">[10] C.M. Barnés, S. Huang, A. Kaipainen, et al., Evidence by molecular profiling for a placental origin of infantile hemangioma, Proc. Natl. Acad. Sci. U. S. A. 102 (2005) 19097-19102. https://doi.org/10.1073/pnas.0509579102</w:t>
      </w:r>
    </w:p>
    <w:p>
      <w:pPr>
        <w:spacing w:after="0" w:before="0" w:line="360"/>
        <w:ind w:left="480" w:hanging="480"/>
      </w:pPr>
      <w:r>
        <w:rPr>
          <w:rFonts w:ascii="Times New Roman" w:cs="Times New Roman" w:eastAsia="Times New Roman" w:hAnsi="Times New Roman"/>
          <w:sz w:val="24"/>
          <w:szCs w:val="24"/>
        </w:rPr>
        <w:t xml:space="preserve">[11] M.E. Kleinman, M.R. Greives, S.S. Churgin, et al., Hypoxia-induced mediators of stem/progenitor cell trafficking are increased in children with hemangioma, Arterioscler. Thromb. Vasc. Biol. 27 (2007) 2664-2670. https://doi.org/10.1161/ATVBAHA.107.150284</w:t>
      </w:r>
    </w:p>
    <w:p>
      <w:pPr>
        <w:spacing w:after="0" w:before="0" w:line="360"/>
        <w:ind w:left="480" w:hanging="480"/>
      </w:pPr>
      <w:r>
        <w:rPr>
          <w:rFonts w:ascii="Times New Roman" w:cs="Times New Roman" w:eastAsia="Times New Roman" w:hAnsi="Times New Roman"/>
          <w:sz w:val="24"/>
          <w:szCs w:val="24"/>
        </w:rPr>
        <w:t xml:space="preserve">[12] S. Harbi, R. Wang, M. Gregory, et al., Infantile hemangioma originates from a dysregulated but not fully transformed multipotent stem cell, Sci. Rep. 6 (2016) 35811. https://doi.org/10.1038/srep35811</w:t>
      </w:r>
    </w:p>
    <w:p>
      <w:pPr>
        <w:spacing w:after="0" w:before="0" w:line="360"/>
        <w:ind w:left="480" w:hanging="480"/>
      </w:pPr>
      <w:r>
        <w:rPr>
          <w:rFonts w:ascii="Times New Roman" w:cs="Times New Roman" w:eastAsia="Times New Roman" w:hAnsi="Times New Roman"/>
          <w:sz w:val="24"/>
          <w:szCs w:val="24"/>
        </w:rPr>
        <w:t xml:space="preserve">[13] V. Colonna, L. Resta, A. Napoli, E. Bonifazi, Placental hypoxia and neonatal haemangioma: clinical and histological observations, Br. J. Dermatol. 162 (2010) 208-209. https://doi.org/10.1111/j.1365-2133.2009.09493.x</w:t>
      </w:r>
    </w:p>
    <w:p>
      <w:pPr>
        <w:spacing w:after="0" w:before="0" w:line="360"/>
        <w:ind w:left="480" w:hanging="480"/>
      </w:pPr>
      <w:r>
        <w:rPr>
          <w:rFonts w:ascii="Times New Roman" w:cs="Times New Roman" w:eastAsia="Times New Roman" w:hAnsi="Times New Roman"/>
          <w:sz w:val="24"/>
          <w:szCs w:val="24"/>
        </w:rPr>
        <w:t xml:space="preserve">[14] B.A. Drolet, I.J. Frieden, Characteristics of infantile hemangiomas as clues to pathogenesis: does hypoxia connect the dots?, Arch. Dermatol. 146 (2010) 1295-1299. https://doi.org/10.1001/archdermatol.2010.1295</w:t>
      </w:r>
    </w:p>
    <w:p>
      <w:pPr>
        <w:spacing w:after="0" w:before="0" w:line="360"/>
        <w:ind w:left="480" w:hanging="480"/>
      </w:pPr>
      <w:r>
        <w:rPr>
          <w:rFonts w:ascii="Times New Roman" w:cs="Times New Roman" w:eastAsia="Times New Roman" w:hAnsi="Times New Roman"/>
          <w:sz w:val="24"/>
          <w:szCs w:val="24"/>
        </w:rPr>
        <w:t xml:space="preserve">[15] T.Y. Khong, E.E. Mooney, I. Ariel, et al., Sampling and definitions of placental lesions: Amsterdam Placental Workshop Group consensus statement, Arch. Pathol. Lab. Med. 140 (2016) 698-713. https://doi.org/10.5858/arpa.2015-0225-CC</w:t>
      </w:r>
    </w:p>
    <w:p>
      <w:pPr>
        <w:spacing w:after="0" w:before="0" w:line="360"/>
        <w:ind w:left="480" w:hanging="480"/>
      </w:pPr>
      <w:r>
        <w:rPr>
          <w:rFonts w:ascii="Times New Roman" w:cs="Times New Roman" w:eastAsia="Times New Roman" w:hAnsi="Times New Roman"/>
          <w:sz w:val="24"/>
          <w:szCs w:val="24"/>
        </w:rPr>
        <w:t xml:space="preserve">[16] R.W. Redline, S. Ravishankar, C.M. Bagby, S.T. Saab, S. Zarei, Four major patterns of placental injury: a stepwise guide for understanding and implementing the 2016 Amsterdam consensus, Mod. Pathol. 34 (2021) 1074-1092. https://doi.org/10.1038/s41379-021-00747-4</w:t>
      </w:r>
    </w:p>
    <w:p>
      <w:pPr>
        <w:spacing w:after="0" w:before="0" w:line="360"/>
        <w:ind w:left="480" w:hanging="480"/>
      </w:pPr>
      <w:r>
        <w:rPr>
          <w:rFonts w:ascii="Times New Roman" w:cs="Times New Roman" w:eastAsia="Times New Roman" w:hAnsi="Times New Roman"/>
          <w:sz w:val="24"/>
          <w:szCs w:val="24"/>
        </w:rPr>
        <w:t xml:space="preserve">[17] J.A. Goldstein, K. Gallagher, C. Beck, R. Kumar, A.D. Gernand, Maternal-fetal inflammation in the placenta and the developmental origins of health and disease, Front. Immunol. 11 (2020) 531543. https://doi.org/10.3389/fimmu.2020.531543</w:t>
      </w:r>
    </w:p>
    <w:p>
      <w:pPr>
        <w:spacing w:after="0" w:before="0" w:line="360"/>
        <w:ind w:left="480" w:hanging="480"/>
      </w:pPr>
      <w:r>
        <w:rPr>
          <w:rFonts w:ascii="Times New Roman" w:cs="Times New Roman" w:eastAsia="Times New Roman" w:hAnsi="Times New Roman"/>
          <w:sz w:val="24"/>
          <w:szCs w:val="24"/>
        </w:rPr>
        <w:t xml:space="preserve">[18] J.C. López Gutiérrez, L.F. Avila, G. Sosa, M. Patron, Placental anomalies in children with infantile hemangioma, Pediatr. Dermatol. 24 (2007) 353-355. https://doi.org/10.1111/j.1525-1470.2007.00450.x</w:t>
      </w:r>
    </w:p>
    <w:p>
      <w:pPr>
        <w:spacing w:after="0" w:before="0" w:line="360"/>
        <w:ind w:left="480" w:hanging="480"/>
      </w:pPr>
      <w:r>
        <w:rPr>
          <w:rFonts w:ascii="Times New Roman" w:cs="Times New Roman" w:eastAsia="Times New Roman" w:hAnsi="Times New Roman"/>
          <w:sz w:val="24"/>
          <w:szCs w:val="24"/>
        </w:rPr>
        <w:t xml:space="preserve">[19] M. Sirotkina, K. Douroudis, C.F. Wahlgren, M. Westgren, N. Papadogiannakis, Exploring the association between chorangioma and infantile haemangioma in singleton and multiple pregnancies: a case-control study in a Swedish tertiary centre, BMJ Open 7 (2017) e015539. https://doi.org/10.1136/bmjopen-2016-015539</w:t>
      </w:r>
    </w:p>
    <w:p>
      <w:pPr>
        <w:spacing w:after="0" w:before="0" w:line="360"/>
        <w:ind w:left="480" w:hanging="480"/>
      </w:pPr>
      <w:r>
        <w:rPr>
          <w:rFonts w:ascii="Times New Roman" w:cs="Times New Roman" w:eastAsia="Times New Roman" w:hAnsi="Times New Roman"/>
          <w:sz w:val="24"/>
          <w:szCs w:val="24"/>
        </w:rPr>
        <w:t xml:space="preserve">[20] R.W. Redline, O. Faye-Petersen, D. Heller, et al., Amniotic infection syndrome: nosology and reproducibility of placental reaction patterns, Pediatr. Dev. Pathol. 6 (2003) 435-448. https://doi.org/10.1007/s10024-003-7070-y</w:t>
      </w:r>
    </w:p>
    <w:p>
      <w:pPr>
        <w:spacing w:after="0" w:before="0" w:line="360"/>
        <w:ind w:left="480" w:hanging="480"/>
      </w:pPr>
      <w:r>
        <w:rPr>
          <w:rFonts w:ascii="Times New Roman" w:cs="Times New Roman" w:eastAsia="Times New Roman" w:hAnsi="Times New Roman"/>
          <w:sz w:val="24"/>
          <w:szCs w:val="24"/>
        </w:rPr>
        <w:t xml:space="preserve">[21] M.L. Rocha, T. Menter, S. Zekic Tomas, et al., Reproducibility of the Amsterdam consensus criteria for maternal vascular malperfusion (MVM): a multicenter evaluation of perinatal pathologists, J. Perinat. Med. 54 (2026) 811-815. https://doi.org/10.1515/jpm-2025-0518</w:t>
      </w:r>
    </w:p>
    <w:p>
      <w:pPr>
        <w:spacing w:after="0" w:before="0" w:line="360"/>
        <w:ind w:left="480" w:hanging="480"/>
      </w:pPr>
      <w:r>
        <w:rPr>
          <w:rFonts w:ascii="Times New Roman" w:cs="Times New Roman" w:eastAsia="Times New Roman" w:hAnsi="Times New Roman"/>
          <w:sz w:val="24"/>
          <w:szCs w:val="24"/>
        </w:rPr>
        <w:t xml:space="preserve">[22] A.A. Freedman, et al., Adverse pregnancy outcomes following the assassination of John F. Kennedy in 1963, Matern. Child Health J. (2021). https://doi.org/10.1007/s10995-021-03139-x [FLAG: add co-authors, volume, and pages]</w:t>
      </w:r>
    </w:p>
    <w:p>
      <w:pPr>
        <w:spacing w:after="0" w:before="0" w:line="360"/>
        <w:ind w:left="480" w:hanging="480"/>
      </w:pPr>
      <w:r>
        <w:rPr>
          <w:rFonts w:ascii="Times New Roman" w:cs="Times New Roman" w:eastAsia="Times New Roman" w:hAnsi="Times New Roman"/>
          <w:sz w:val="24"/>
          <w:szCs w:val="24"/>
        </w:rPr>
        <w:t xml:space="preserve">[23] J.B. Hardy, The Collaborative Perinatal Project: lessons and legacy, Ann. Epidemiol. 13 (2003) 303-311. https://doi.org/10.1016/s1047-2797(02)00479-9</w:t>
      </w:r>
    </w:p>
    <w:p>
      <w:pPr>
        <w:spacing w:after="0" w:before="0" w:line="360"/>
        <w:ind w:left="480" w:hanging="480"/>
      </w:pPr>
      <w:r>
        <w:rPr>
          <w:rFonts w:ascii="Times New Roman" w:cs="Times New Roman" w:eastAsia="Times New Roman" w:hAnsi="Times New Roman"/>
          <w:sz w:val="24"/>
          <w:szCs w:val="24"/>
        </w:rPr>
        <w:t xml:space="preserve">[24] M.A. Klebanoff, The Collaborative Perinatal Project: a 50-year retrospective, Paediatr. Perinat. Epidemiol. 23 (2009) 2-8. https://doi.org/10.1111/j.1365-3016.2008.00984.x</w:t>
      </w:r>
    </w:p>
    <w:p>
      <w:pPr>
        <w:spacing w:after="0" w:before="0" w:line="360"/>
        <w:ind w:left="480" w:hanging="480"/>
      </w:pPr>
      <w:r>
        <w:rPr>
          <w:rFonts w:ascii="Times New Roman" w:cs="Times New Roman" w:eastAsia="Times New Roman" w:hAnsi="Times New Roman"/>
          <w:sz w:val="24"/>
          <w:szCs w:val="24"/>
        </w:rPr>
        <w:t xml:space="preserve">[25] A.A. Freedman, G.E. Miller, A.D. Franklin, et al., Placental pathology and blood pressure at age 7: a longitudinal discordant twin analysis, Arterioscler. Thromb. Vasc. Biol. 45 (2025) 312-322. https://doi.org/10.1161/ATVBAHA.124.321666</w:t>
      </w:r>
    </w:p>
    <w:p>
      <w:pPr>
        <w:spacing w:after="0" w:before="0" w:line="360"/>
        <w:ind w:left="480" w:hanging="480"/>
      </w:pPr>
      <w:r>
        <w:rPr>
          <w:rFonts w:ascii="Times New Roman" w:cs="Times New Roman" w:eastAsia="Times New Roman" w:hAnsi="Times New Roman"/>
          <w:sz w:val="24"/>
          <w:szCs w:val="24"/>
        </w:rPr>
        <w:t xml:space="preserve">[26] E.F. Schisterman, S.R. Cole, R.W. Platt, Overadjustment bias and unnecessary adjustment in epidemiologic studies, Epidemiology 20 (2009) 488-495. https://doi.org/10.1097/EDE.0b013e3181a819a1</w:t>
      </w:r>
    </w:p>
    <w:p>
      <w:pPr>
        <w:spacing w:after="0" w:before="0" w:line="360"/>
        <w:ind w:left="480" w:hanging="480"/>
      </w:pPr>
      <w:r>
        <w:rPr>
          <w:rFonts w:ascii="Times New Roman" w:cs="Times New Roman" w:eastAsia="Times New Roman" w:hAnsi="Times New Roman"/>
          <w:sz w:val="24"/>
          <w:szCs w:val="24"/>
        </w:rPr>
        <w:t xml:space="preserve">[27] S. van Buuren, K. Groothuis-Oudshoorn, mice: multivariate imputation by chained equations in R, J. Stat. Softw. 45 (2011) 1-67. https://doi.org/10.18637/jss.v045.i03</w:t>
      </w:r>
    </w:p>
    <w:p>
      <w:pPr>
        <w:spacing w:after="0" w:before="0" w:line="360"/>
        <w:ind w:left="480" w:hanging="480"/>
      </w:pPr>
      <w:r>
        <w:rPr>
          <w:rFonts w:ascii="Times New Roman" w:cs="Times New Roman" w:eastAsia="Times New Roman" w:hAnsi="Times New Roman"/>
          <w:sz w:val="24"/>
          <w:szCs w:val="24"/>
        </w:rPr>
        <w:t xml:space="preserve">[28] D.B. Rubin, Multiple Imputation for Nonresponse in Surveys, John Wiley &amp; Sons, New York, 1987.</w:t>
      </w:r>
    </w:p>
    <w:p>
      <w:pPr>
        <w:spacing w:after="0" w:before="0" w:line="360"/>
        <w:ind w:left="480" w:hanging="480"/>
      </w:pPr>
      <w:r>
        <w:rPr>
          <w:rFonts w:ascii="Times New Roman" w:cs="Times New Roman" w:eastAsia="Times New Roman" w:hAnsi="Times New Roman"/>
          <w:sz w:val="24"/>
          <w:szCs w:val="24"/>
        </w:rPr>
        <w:t xml:space="preserve">[29] M.A. Hernán, S. Hernández-Díaz, J.M. Robins, A structural approach to selection bias, Epidemiology 15 (2004) 615-625. https://doi.org/10.1097/01.ede.0000135174.63482.43</w:t>
      </w:r>
    </w:p>
    <w:p>
      <w:pPr>
        <w:spacing w:after="0" w:before="0" w:line="360"/>
        <w:ind w:left="480" w:hanging="480"/>
      </w:pPr>
      <w:r>
        <w:rPr>
          <w:rFonts w:ascii="Times New Roman" w:cs="Times New Roman" w:eastAsia="Times New Roman" w:hAnsi="Times New Roman"/>
          <w:sz w:val="24"/>
          <w:szCs w:val="24"/>
        </w:rPr>
        <w:t xml:space="preserve">[30] S.R. Cole, M.A. Hernán, Constructing inverse probability weights for marginal structural models, Am. J. Epidemiol. 168 (2008) 656-664. https://doi.org/10.1093/aje/kwn164</w:t>
      </w:r>
    </w:p>
    <w:p>
      <w:pPr>
        <w:spacing w:after="0" w:before="0" w:line="360"/>
        <w:ind w:left="480" w:hanging="480"/>
      </w:pPr>
      <w:r>
        <w:rPr>
          <w:rFonts w:ascii="Times New Roman" w:cs="Times New Roman" w:eastAsia="Times New Roman" w:hAnsi="Times New Roman"/>
          <w:sz w:val="24"/>
          <w:szCs w:val="24"/>
        </w:rPr>
        <w:t xml:space="preserve">[31] G. Zou, A modified Poisson regression approach to prospective studies with binary data, Am. J. Epidemiol. 159 (2004) 702-706. https://doi.org/10.1093/aje/kwh090</w:t>
      </w:r>
    </w:p>
    <w:p>
      <w:pPr>
        <w:spacing w:after="0" w:before="0" w:line="360"/>
        <w:ind w:left="480" w:hanging="480"/>
      </w:pPr>
      <w:r>
        <w:rPr>
          <w:rFonts w:ascii="Times New Roman" w:cs="Times New Roman" w:eastAsia="Times New Roman" w:hAnsi="Times New Roman"/>
          <w:sz w:val="24"/>
          <w:szCs w:val="24"/>
        </w:rPr>
        <w:t xml:space="preserve">[32] M. Desai, M.D. Begg, A comparison of regression approaches for analyzing clustered data, Am. J. Public Health 98 (2008) 1425-1429. https://doi.org/10.2105/AJPH.2006.108233</w:t>
      </w:r>
    </w:p>
    <w:p>
      <w:pPr>
        <w:spacing w:after="0" w:before="0" w:line="360"/>
        <w:ind w:left="480" w:hanging="480"/>
      </w:pPr>
      <w:r>
        <w:rPr>
          <w:rFonts w:ascii="Times New Roman" w:cs="Times New Roman" w:eastAsia="Times New Roman" w:hAnsi="Times New Roman"/>
          <w:sz w:val="24"/>
          <w:szCs w:val="24"/>
        </w:rPr>
        <w:t xml:space="preserve">[33] M.J. Knol, T.J. VanderWeele, Recommendations for presenting analyses of effect modification and interaction, Int. J. Epidemiol. 41 (2012) 514-520. https://doi.org/10.1093/ije/dyr218</w:t>
      </w:r>
    </w:p>
    <w:p>
      <w:pPr>
        <w:spacing w:after="0" w:before="0" w:line="360"/>
        <w:ind w:left="480" w:hanging="480"/>
      </w:pPr>
      <w:r>
        <w:rPr>
          <w:rFonts w:ascii="Times New Roman" w:cs="Times New Roman" w:eastAsia="Times New Roman" w:hAnsi="Times New Roman"/>
          <w:sz w:val="24"/>
          <w:szCs w:val="24"/>
        </w:rPr>
        <w:t xml:space="preserve">[34] D.W. Hosmer, S. Lemeshow, Confidence interval estimation of interaction, Epidemiology 3 (1992) 452-456. https://doi.org/10.1097/00001648-199209000-00012</w:t>
      </w:r>
    </w:p>
    <w:p>
      <w:pPr>
        <w:spacing w:after="0" w:before="0" w:line="360"/>
        <w:ind w:left="480" w:hanging="480"/>
      </w:pPr>
      <w:r>
        <w:rPr>
          <w:rFonts w:ascii="Times New Roman" w:cs="Times New Roman" w:eastAsia="Times New Roman" w:hAnsi="Times New Roman"/>
          <w:sz w:val="24"/>
          <w:szCs w:val="24"/>
        </w:rPr>
        <w:t xml:space="preserve">[35] A.A. Freedman, et al., Patterns of placental pathology associated with preeclampsia, Placenta (2023). PMID: 37336159 [FLAG: add co-authors, volume, pages, and DOI]</w:t>
      </w:r>
    </w:p>
    <w:p>
      <w:pPr>
        <w:spacing w:after="0" w:before="0" w:line="360"/>
        <w:ind w:left="480" w:hanging="480"/>
      </w:pPr>
      <w:r>
        <w:rPr>
          <w:rFonts w:ascii="Times New Roman" w:cs="Times New Roman" w:eastAsia="Times New Roman" w:hAnsi="Times New Roman"/>
          <w:sz w:val="24"/>
          <w:szCs w:val="24"/>
        </w:rPr>
        <w:t xml:space="preserve">[36] J.J. Wong, Y. Chakraborti, E.C. Caniglia, et al., Association between hypertensive disorders of pregnancy and infantile vascular anomalies in the Collaborative Perinatal Project, AJE Adv. 2 (2026) uuag016. https://doi.org/10.1093/ajeadv/uuag016</w:t>
      </w:r>
    </w:p>
    <w:p>
      <w:pPr>
        <w:spacing w:after="0" w:before="0" w:line="360"/>
        <w:ind w:left="480" w:hanging="480"/>
      </w:pPr>
      <w:r>
        <w:rPr>
          <w:rFonts w:ascii="Times New Roman" w:cs="Times New Roman" w:eastAsia="Times New Roman" w:hAnsi="Times New Roman"/>
          <w:sz w:val="24"/>
          <w:szCs w:val="24"/>
        </w:rPr>
        <w:t xml:space="preserve">[37] N. Auger, W.D. Fraser, L. Arbour, et al., Pre-eclampsia and risk of infantile haemangioma, Br. J. Dermatol. 176 (2017) 371-377. https://doi.org/10.1111/bjd.14958</w:t>
      </w:r>
    </w:p>
    <w:p>
      <w:pPr>
        <w:spacing w:after="0" w:before="0" w:line="360"/>
        <w:ind w:left="480" w:hanging="480"/>
      </w:pPr>
      <w:r>
        <w:rPr>
          <w:rFonts w:ascii="Times New Roman" w:cs="Times New Roman" w:eastAsia="Times New Roman" w:hAnsi="Times New Roman"/>
          <w:sz w:val="24"/>
          <w:szCs w:val="24"/>
        </w:rPr>
        <w:t xml:space="preserve">[38] B.C. Baker, A.E.P. Heazell, C. Sibley, et al., Hypoxia and oxidative stress induce sterile placental inflammation in vitro, Sci. Rep. 11 (2021). https://doi.org/10.1038/s41598-021-86268-1 [FLAG: add article number]</w:t>
      </w:r>
    </w:p>
    <w:p>
      <w:pPr>
        <w:spacing w:after="0" w:before="0" w:line="360"/>
        <w:ind w:left="480" w:hanging="480"/>
      </w:pPr>
      <w:r>
        <w:rPr>
          <w:rFonts w:ascii="Times New Roman" w:cs="Times New Roman" w:eastAsia="Times New Roman" w:hAnsi="Times New Roman"/>
          <w:sz w:val="24"/>
          <w:szCs w:val="24"/>
        </w:rPr>
        <w:t xml:space="preserve">[39] F. Gotsch, R. Romero, J.P. Kusanovic, et al., The fetal inflammatory response syndrome, Clin. Obstet. Gynecol. 50 (2007) 652-683. https://doi.org/10.1097/GRF.0b013e31811ebef6</w:t>
      </w:r>
    </w:p>
    <w:p>
      <w:pPr>
        <w:spacing w:after="0" w:before="0" w:line="360"/>
        <w:ind w:left="480" w:hanging="480"/>
      </w:pPr>
      <w:r>
        <w:rPr>
          <w:rFonts w:ascii="Times New Roman" w:cs="Times New Roman" w:eastAsia="Times New Roman" w:hAnsi="Times New Roman"/>
          <w:sz w:val="24"/>
          <w:szCs w:val="24"/>
        </w:rPr>
        <w:t xml:space="preserve">[40] Z.C. Chiesa Fuxench, N. Mitra, J. Wong, O. Hoffstad, S. Hinkle, D.J. Margolis, Maternal history of angioma is associated with infantile hemangioma and port-wine stain in children: a population-based, cohort study of mother-child pairs from the United Kingdom, Arch. Dermatol. Res. 316 (2024) 506. https://doi.org/10.1007/s00403-024-03247-y</w:t>
      </w:r>
    </w:p>
    <w:p>
      <w:r>
        <w:br w:type="page"/>
      </w:r>
    </w:p>
    <w:p>
      <w:pPr>
        <w:keepNext/>
        <w:spacing w:after="0" w:before="240" w:line="480"/>
      </w:pPr>
      <w:r>
        <w:rPr>
          <w:rFonts w:ascii="Times New Roman" w:cs="Times New Roman" w:eastAsia="Times New Roman" w:hAnsi="Times New Roman"/>
          <w:b/>
          <w:bCs/>
          <w:i w:val="false"/>
          <w:iCs w:val="false"/>
          <w:sz w:val="24"/>
          <w:szCs w:val="24"/>
        </w:rPr>
        <w:t xml:space="preserve">Figure legend</w:t>
      </w:r>
    </w:p>
    <w:p>
      <w:pPr>
        <w:spacing w:after="0" w:before="0" w:line="480"/>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Flow of participants in the Collaborative Perinatal Project. AI, acute inflammation. IH, infantile haemangioma. MVM, maternal vascular malperfusion.</w:t>
      </w:r>
    </w:p>
    <w:p>
      <w:pPr>
        <w:sectPr>
          <w:footerReference w:type="default" r:id="rId6"/>
          <w:pgSz w:w="12240" w:h="15840" w:orient="portrait"/>
          <w:pgMar w:top="1440" w:right="1440" w:bottom="1440" w:left="1440" w:header="708" w:footer="708" w:gutter="0"/>
          <w:lnNumType w:countBy="1" w:restart="continuous"/>
          <w:pgNumType/>
          <w:docGrid w:linePitch="360"/>
        </w:sectPr>
      </w:pPr>
    </w:p>
    <w:p>
      <w:pPr>
        <w:keepNext/>
        <w:spacing w:after="120" w:before="0" w:line="276"/>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Characteristics of 45,268 singleton pregnancies in the Collaborative Perinatal Project, overall and by placental maternal vascular malperfusion (MVM) and acute inflammation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80"/>
        <w:gridCol w:w="1280"/>
        <w:gridCol w:w="1280"/>
        <w:gridCol w:w="1280"/>
        <w:gridCol w:w="1280"/>
      </w:tblGrid>
      <w:tr>
        <w:trPr>
          <w:tblHeader/>
        </w:trPr>
        <w:tc>
          <w:tcPr>
            <w:tcW w:type="dxa" w:w="2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Characteristic</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Overall</w:t>
            </w:r>
          </w:p>
          <w:p>
            <w:pPr>
              <w:spacing w:line="240"/>
              <w:jc w:val="center"/>
            </w:pPr>
            <w:r>
              <w:rPr>
                <w:rFonts w:ascii="Times New Roman" w:cs="Times New Roman" w:eastAsia="Times New Roman" w:hAnsi="Times New Roman"/>
                <w:b/>
                <w:bCs/>
                <w:sz w:val="16"/>
                <w:szCs w:val="16"/>
              </w:rPr>
              <w:t xml:space="preserve">n = 45,268</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No MVM</w:t>
            </w:r>
          </w:p>
          <w:p>
            <w:pPr>
              <w:spacing w:line="240"/>
              <w:jc w:val="center"/>
            </w:pPr>
            <w:r>
              <w:rPr>
                <w:rFonts w:ascii="Times New Roman" w:cs="Times New Roman" w:eastAsia="Times New Roman" w:hAnsi="Times New Roman"/>
                <w:b/>
                <w:bCs/>
                <w:sz w:val="16"/>
                <w:szCs w:val="16"/>
              </w:rPr>
              <w:t xml:space="preserve">n = 32,149</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MVM</w:t>
            </w:r>
          </w:p>
          <w:p>
            <w:pPr>
              <w:spacing w:line="240"/>
              <w:jc w:val="center"/>
            </w:pPr>
            <w:r>
              <w:rPr>
                <w:rFonts w:ascii="Times New Roman" w:cs="Times New Roman" w:eastAsia="Times New Roman" w:hAnsi="Times New Roman"/>
                <w:b/>
                <w:bCs/>
                <w:sz w:val="16"/>
                <w:szCs w:val="16"/>
              </w:rPr>
              <w:t xml:space="preserve">n = 13,119</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No AI</w:t>
            </w:r>
          </w:p>
          <w:p>
            <w:pPr>
              <w:spacing w:line="240"/>
              <w:jc w:val="center"/>
            </w:pPr>
            <w:r>
              <w:rPr>
                <w:rFonts w:ascii="Times New Roman" w:cs="Times New Roman" w:eastAsia="Times New Roman" w:hAnsi="Times New Roman"/>
                <w:b/>
                <w:bCs/>
                <w:sz w:val="16"/>
                <w:szCs w:val="16"/>
              </w:rPr>
              <w:t xml:space="preserve">n = 35,080</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AI</w:t>
            </w:r>
          </w:p>
          <w:p>
            <w:pPr>
              <w:spacing w:line="240"/>
              <w:jc w:val="center"/>
            </w:pPr>
            <w:r>
              <w:rPr>
                <w:rFonts w:ascii="Times New Roman" w:cs="Times New Roman" w:eastAsia="Times New Roman" w:hAnsi="Times New Roman"/>
                <w:b/>
                <w:bCs/>
                <w:sz w:val="16"/>
                <w:szCs w:val="16"/>
              </w:rPr>
              <w:t xml:space="preserve">n = 10,188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Maternal age, years,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24.3 (6.0)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24.2 (5.9)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24.5 (6.1)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24.1 (5.9)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24.7 (6.1)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Pre-pregnancy BMI, kg/m&lt;c2&gt;&lt;b2&gt;,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22.8 (4.3)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22.8 (4.3)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22.7 (4.4)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22.7 (4.2)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23.0 (4.5)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3,936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2,697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1,239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2,954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Race and ethnicity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White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48.2% (21,811)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47.8% (15,355)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49.2% (6,456)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47.0% (16,486)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52.3% (5,325)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Black</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43.8% (19,827)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43.8% (14,074)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43.9% (5,753)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44.4% (15,581)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41.7% (4,246)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Puerto Rican</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7.0% (3,167)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7.4% (2,374)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6.0% (793)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7.6% (2,662)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 (505)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Other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 (463)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 (346)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0.9% (117)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 (351)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 (112)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Education</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Less than high school</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17.3% (7,712)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16.3% (5,171)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19.7% (2,541)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17.1% (5,931)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17.8% (1,781)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Some high school</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39.6% (17,671)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39.7% (12,611)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39.3% (5,060)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39.7% (13,758)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39.1% (3,913)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High school graduate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30.6% (13,672)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31.1% (9,888)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29.4% (3,784)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30.7% (10,616)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30.5% (3,056)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Some college or more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12.5% (5,571)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12.9% (4,088)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11.5% (1,483)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12.5% (4,312)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12.6% (1,259)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463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Family income, per year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$1,999 or less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(133)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(37)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(100)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(33)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$2,000 to $3,999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13.8% (5,865)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13.4% (4,043)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14.9% (1,822)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14.1% (4,640)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12.9% (1,225)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$4,000 to $5,999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43.0% (18,219)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43.0% (12,996)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42.8% (5,223)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43.3% (14,250)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41.7% (3,969)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$6,000 to $7,999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24.6% (10,435)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24.7% (7,451)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24.5% (2,984)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24.3% (7,985)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25.7% (2,450)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$8,000 to $9,999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11.3% (4,800)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11.5% (3,485)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10.8% (1,315)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11.1% (3,641)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12.2% (1,159)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$10,000 to $14,999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4.1% (1,748)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 (1,257)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4.0% (491)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4.0% (1,320)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4.5% (428)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$15,000 or more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2.8% (1,203)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 (883)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2.6% (320)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 (948)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 (255)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2,865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1,938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669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Marital status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Married or common law</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77.7% (35,160)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77.4% (24,896)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78.2% (10,264)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77.7% (27,266)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77.5% (7,894)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Single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14.0% (6,331)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14.2% (4,565)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13.5% (1,766)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14.1% (4,962)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13.4% (1,369)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Widowed, divorced, or separated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8.3% (3,776)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8.4% (2,687)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8.3% (1,089)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8.1% (2,851)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9.1% (925)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Smoking during pregnancy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Non-smoker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52.0% (23,348)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51.6% (16,481)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53.0% (6,867)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53.0% (18,452)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48.5% (4,896)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 to 19 cigarettes per day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30.6% (13,733)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30.9% (9,893)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29.6% (3,840)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30.5% (10,607)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31.0% (3,126)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20 or more cigarettes per day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17.5% (7,845)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17.5% (5,591)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17.4% (2,254)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16.6% (5,774)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20.5% (2,071)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342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184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Parity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30.0% (13,429)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30.6% (9,739)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28.4% (3,690)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29.6% (10,261)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31.4% (3,168)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22.8% (10,220)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23.0% (7,307)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22.4% (2,913)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23.6% (8,196)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20.1% (2,024)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16.3% (7,282)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16.3% (5,187)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16.1% (2,095)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16.5% (5,727)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15.4% (1,555)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11.2% (5,020)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11.1% (3,529)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11.5% (1,491)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11.2% (3,905)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11.1% (1,115)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4 or more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19.8% (8,848)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19.0% (6,051)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21.5% (2,797)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19.1% (6,625)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22.0% (2,223)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469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336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366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Pre-pregnancy diabetes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98.4% (44,552)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98.7% (31,715)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97.9% (12,837)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98.3% (34,490)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98.8% (10,062)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 (709)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 (429)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 (280)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 (585)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 (124)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Chronic hypertension</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94.2% (42,621)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94.4% (30,334)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93.7% (12,287)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94.2% (33,035)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94.1% (9,586)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5.8% (2,640)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5.6% (1,808)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6.3% (832)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5.8% (2,040)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5.9% (600)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Infant sex</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Female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49.1% (22,214)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49.5% (15,909)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48.1% (6,305)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49.8% (17,480)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46.6% (4,734)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Male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50.9% (23,023)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50.5% (16,231)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51.9% (6,792)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50.2% (17,588)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53.4% (5,435)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Perinatal characteristics (not adjusted for)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Gestational age at delivery, weeks,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39.2 (3.6)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39.4 (3.3)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38.5 (4.4)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39.2 (3.4)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38.9 (4.4)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Preterm birth (&lt;37 weeks)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85.4% (38,471)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87.6% (28,025)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80.1% (10,446)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86.3% (30,140)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82.2% (8,331)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14.6% (6,573)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12.4% (3,972)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19.9% (2,601)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13.7% (4,770)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17.8% (1,803)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Birthweight, g,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3143 (612)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3206 (531)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2988 (753)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3162 (561)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3077 (758)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Small for gestational age infant</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91.3% (41,263)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92.6% (29,732)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88.1% (11,531)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91.7% (32,123)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90.0% (9,140)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8.7% (3,941)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7.4% (2,387)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11.9% (1,554)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8.3% (2,920)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(1,021)</w:t>
            </w:r>
          </w:p>
        </w:tc>
      </w:tr>
      <w:tr>
        <w:trPr>
          <w:cantSplit/>
        </w:trPr>
        <w:tc>
          <w:tcPr>
            <w:tcW w:type="dxa" w:w="2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64</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34</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37</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w:t>
            </w:r>
          </w:p>
        </w:tc>
      </w:tr>
    </w:tbl>
    <w:p>
      <w:pPr>
        <w:spacing w:after="0" w:before="60" w:line="240"/>
      </w:pPr>
      <w:r>
        <w:rPr>
          <w:rFonts w:ascii="Times New Roman" w:cs="Times New Roman" w:eastAsia="Times New Roman" w:hAnsi="Times New Roman"/>
          <w:sz w:val="16"/>
          <w:szCs w:val="16"/>
        </w:rPr>
        <w:t xml:space="preserve">Values are % (n) unless stated otherwise. Percentages exclude missing values, and the number missing is shown for each characteristic. Perinatal characteristics are shown for description only and were not included in adjusted models. BMI, body mass index. SD, standard deviation.</w:t>
      </w:r>
    </w:p>
    <w:p>
      <w:r>
        <w:br w:type="page"/>
      </w:r>
    </w:p>
    <w:p>
      <w:pPr>
        <w:keepNext/>
        <w:spacing w:after="120" w:before="0" w:line="276"/>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Associations of placental maternal vascular malperfusion (MVM) and acute inflammation (AI) with definite infantile haemangioma (IH) by one year of age (700 cases among 40,700 infants).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600"/>
        <w:gridCol w:w="1600"/>
        <w:gridCol w:w="1600"/>
      </w:tblGrid>
      <w:tr>
        <w:trPr>
          <w:tblHeader/>
        </w:trPr>
        <w:tc>
          <w:tcPr>
            <w:tcW w:type="dxa" w:w="27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Placental exposure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IH, % (cases/N)</w:t>
            </w:r>
          </w:p>
        </w:tc>
        <w:tc>
          <w:tcPr>
            <w:tcW w:type="dxa" w:w="1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p>
            <w:pPr>
              <w:spacing w:line="240"/>
              <w:jc w:val="center"/>
            </w:pPr>
            <w:r>
              <w:rPr>
                <w:rFonts w:ascii="Times New Roman" w:cs="Times New Roman" w:eastAsia="Times New Roman" w:hAnsi="Times New Roman"/>
                <w:b/>
                <w:bCs/>
                <w:sz w:val="16"/>
                <w:szCs w:val="16"/>
              </w:rPr>
              <w:t xml:space="preserve">RR (95% CI)</w:t>
            </w:r>
          </w:p>
        </w:tc>
        <w:tc>
          <w:tcPr>
            <w:tcW w:type="dxa" w:w="1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Primaryᵃ</w:t>
            </w:r>
          </w:p>
          <w:p>
            <w:pPr>
              <w:spacing w:line="240"/>
              <w:jc w:val="center"/>
            </w:pPr>
            <w:r>
              <w:rPr>
                <w:rFonts w:ascii="Times New Roman" w:cs="Times New Roman" w:eastAsia="Times New Roman" w:hAnsi="Times New Roman"/>
                <w:b/>
                <w:bCs/>
                <w:sz w:val="16"/>
                <w:szCs w:val="16"/>
              </w:rPr>
              <w:t xml:space="preserve">RR (95% CI)</w:t>
            </w:r>
          </w:p>
        </w:tc>
        <w:tc>
          <w:tcPr>
            <w:tcW w:type="dxa" w:w="1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Secondaryᵇ</w:t>
            </w:r>
          </w:p>
          <w:p>
            <w:pPr>
              <w:spacing w:line="240"/>
              <w:jc w:val="center"/>
            </w:pPr>
            <w:r>
              <w:rPr>
                <w:rFonts w:ascii="Times New Roman" w:cs="Times New Roman" w:eastAsia="Times New Roman" w:hAnsi="Times New Roman"/>
                <w:b/>
                <w:bCs/>
                <w:sz w:val="16"/>
                <w:szCs w:val="16"/>
              </w:rPr>
              <w:t xml:space="preserve">RR (95% CI)</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Joint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 (364/23,391)</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MVM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1.8% (155/8,429)</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1.18 (0.98, 1.42)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1.08 (0.89, 1.32)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1.18 (0.98, 1.42)</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AI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 (111/5,985)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1.19 (0.96, 1.47)</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1.07 (0.86, 1.32)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1.11 (0.90, 1.37)</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Both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 (70/2,895)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1.55 (1.20, 1.99)</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1.37 (1.05, 1.78)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1.57 (1.22, 2.02)</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Maternal vascular malperfusion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 (475/29,376)</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 (225/11,324)</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1.22 (1.05, 1.43)</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1.14 (0.96, 1.35)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1.25 (1.07, 1.46)</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Score, per 1 point</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1.09 (1.01, 1.18)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1.05 (0.97, 1.15)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1.12 (1.03, 1.21)</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Acute inflammation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 (519/31,820)</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 (181/8,880)</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1.25 (1.06, 1.47)</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1.14 (0.96, 1.35)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1.20 (1.02, 1.42)</w:t>
            </w:r>
          </w:p>
        </w:tc>
      </w:tr>
      <w:tr>
        <w:trPr>
          <w:cantSplit/>
        </w:trPr>
        <w:tc>
          <w:tcPr>
            <w:tcW w:type="dxa" w:w="27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Score, per 1 compartment</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1.03 (0.98, 1.09)</w:t>
            </w:r>
          </w:p>
        </w:tc>
        <w:tc>
          <w:tcPr>
            <w:tcW w:type="dxa" w:w="1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1.03 (0.98, 1.08)</w:t>
            </w:r>
          </w:p>
        </w:tc>
        <w:tc>
          <w:tcPr>
            <w:tcW w:type="dxa" w:w="1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1.04 (0.99, 1.09)</w:t>
            </w:r>
          </w:p>
        </w:tc>
      </w:tr>
    </w:tbl>
    <w:p>
      <w:pPr>
        <w:spacing w:after="0" w:before="60" w:line="240"/>
      </w:pPr>
      <w:r>
        <w:rPr>
          <w:rFonts w:ascii="Times New Roman" w:cs="Times New Roman" w:eastAsia="Times New Roman" w:hAnsi="Times New Roman"/>
          <w:sz w:val="16"/>
          <w:szCs w:val="16"/>
        </w:rPr>
        <w:t xml:space="preserve">Relative risks (RR) and 95% confidence intervals (CI) from modified Poisson regression with generalised estimating equations clustered on mother, pooled across 20 imputed datasets. ᵃAdjusted for maternal age, pre-pregnancy body mass index, race and ethnicity, education, income, marital status, smoking, parity, pre-pregnancy diabetes, chronic hypertension, infant sex, and study site, with stabilised inverse probability of censoring weights. ᵇAs for the primary model but without study site. MVM score range 0 to 8. AI score is the number of involved placental compartments (0 to 7).</w:t>
      </w:r>
    </w:p>
    <w:p>
      <w:r>
        <w:br w:type="page"/>
      </w:r>
    </w:p>
    <w:p>
      <w:pPr>
        <w:keepNext/>
        <w:spacing w:after="120" w:before="0" w:line="276"/>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Flow of participants in the Collaborative Perinatal Project. AI, acute inflammation. IH, infantile haemangioma. MVM, maternal vascular malperfusion.</w:t>
      </w:r>
    </w:p>
    <w:p>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276850"/>
                    </a:xfrm>
                    <a:prstGeom prst="rect">
                      <a:avLst/>
                    </a:prstGeom>
                  </pic:spPr>
                </pic:pic>
              </a:graphicData>
            </a:graphic>
          </wp:inline>
        </w:drawing>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64a6bab61b9759820fc8db9aaf5bef466eb99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2026-10-16T23:07:17.826Z</dcterms:created>
  <dcterms:modified xsi:type="dcterms:W3CDTF">2026-10-16T23:07:17.826Z</dcterms:modified>
</cp:coreProperties>
</file>

<file path=docProps/custom.xml><?xml version="1.0" encoding="utf-8"?>
<Properties xmlns="http://schemas.openxmlformats.org/officeDocument/2006/custom-properties" xmlns:vt="http://schemas.openxmlformats.org/officeDocument/2006/docPropsVTypes"/>
</file>