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rFonts w:ascii="Times New Roman" w:cs="Times New Roman" w:eastAsia="Times New Roman" w:hAnsi="Times New Roman"/>
          <w:b/>
          <w:bCs/>
          <w:sz w:val="28"/>
          <w:szCs w:val="28"/>
        </w:rPr>
        <w:t xml:space="preserve">Supplementary Material</w:t>
      </w:r>
    </w:p>
    <w:p>
      <w:pPr>
        <w:spacing w:after="240" w:before="0" w:line="480"/>
        <w:jc w:val="center"/>
      </w:pPr>
      <w:r>
        <w:rPr>
          <w:rFonts w:ascii="Times New Roman" w:cs="Times New Roman" w:eastAsia="Times New Roman" w:hAnsi="Times New Roman"/>
          <w:i/>
          <w:iCs/>
          <w:sz w:val="24"/>
          <w:szCs w:val="24"/>
        </w:rPr>
        <w:t xml:space="preserve">Placental Pathology and Infantile Haemangioma in the Collaborative Perinatal Project</w:t>
      </w:r>
    </w:p>
    <w:p>
      <w:r>
        <w:br w:type="page"/>
      </w:r>
    </w:p>
    <w:p>
      <w:pPr>
        <w:keepNext/>
        <w:spacing w:after="120" w:before="0" w:line="276"/>
      </w:pPr>
      <w:r>
        <w:rPr>
          <w:rFonts w:ascii="Times New Roman" w:cs="Times New Roman" w:eastAsia="Times New Roman" w:hAnsi="Times New Roman"/>
          <w:b/>
          <w:bCs/>
          <w:sz w:val="20"/>
          <w:szCs w:val="20"/>
        </w:rPr>
        <w:t xml:space="preserve">Table S1. </w:t>
      </w:r>
      <w:r>
        <w:rPr>
          <w:rFonts w:ascii="Times New Roman" w:cs="Times New Roman" w:eastAsia="Times New Roman" w:hAnsi="Times New Roman"/>
          <w:sz w:val="20"/>
          <w:szCs w:val="20"/>
        </w:rPr>
        <w:t xml:space="preserve">Placental pathology and maternal and infant characteristics among 40,700 infants examined at one year, by definite infantile haemangioma (IH)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Characteristic</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Overall</w:t>
            </w:r>
          </w:p>
          <w:p>
            <w:pPr>
              <w:spacing w:line="240"/>
              <w:jc w:val="center"/>
            </w:pPr>
            <w:r>
              <w:rPr>
                <w:rFonts w:ascii="Times New Roman" w:cs="Times New Roman" w:eastAsia="Times New Roman" w:hAnsi="Times New Roman"/>
                <w:b/>
                <w:bCs/>
                <w:sz w:val="16"/>
                <w:szCs w:val="16"/>
              </w:rPr>
              <w:t xml:space="preserve">n = 40,700</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No IH</w:t>
            </w:r>
          </w:p>
          <w:p>
            <w:pPr>
              <w:spacing w:line="240"/>
              <w:jc w:val="center"/>
            </w:pPr>
            <w:r>
              <w:rPr>
                <w:rFonts w:ascii="Times New Roman" w:cs="Times New Roman" w:eastAsia="Times New Roman" w:hAnsi="Times New Roman"/>
                <w:b/>
                <w:bCs/>
                <w:sz w:val="16"/>
                <w:szCs w:val="16"/>
              </w:rPr>
              <w:t xml:space="preserve">n = 40,000</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Definite IH</w:t>
            </w:r>
          </w:p>
          <w:p>
            <w:pPr>
              <w:spacing w:line="240"/>
              <w:jc w:val="center"/>
            </w:pPr>
            <w:r>
              <w:rPr>
                <w:rFonts w:ascii="Times New Roman" w:cs="Times New Roman" w:eastAsia="Times New Roman" w:hAnsi="Times New Roman"/>
                <w:b/>
                <w:bCs/>
                <w:sz w:val="16"/>
                <w:szCs w:val="16"/>
              </w:rPr>
              <w:t xml:space="preserve">n = 700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Placental pathology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Maternal vascular malperfusion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72.2% (29,376)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72.3% (28,901)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67.9% (475)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Any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27.8% (11,324)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27.7% (11,099)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32.1% (225)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MVM grade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72.2% (29,376)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72.3% (28,901)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67.9% (475)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Low (score 1 to 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23.5% (9,556)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23.4% (9,364)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27.4% (192)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High (score 3 or more)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4.3% (1,768)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4.3% (1,735)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4.7% (33)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MVM score,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0.4 (0.8)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0.4 (0.8)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0.5 (0.9)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Acute inflammation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78.2% (31,820)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78.3% (31,301)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74.1% (519)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Any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21.8% (8,880)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21.7% (8,699)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25.9% (181)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AI stage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78.2% (31,820)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78.3% (31,301)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74.1% (519)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Low</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10.8% (4,376)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10.7% (4,270)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15.1% (106)</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High</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11.1% (4,504)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11.1% (4,429)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10.7% (75)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Joint MVM and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57.5% (23,391)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57.6% (23,027)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52.0% (364)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MVM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20.7% (8,429)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20.7% (8,274)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22.1% (155)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AI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14.7% (5,985)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14.7% (5,874)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15.9% (111)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Both MVM and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7.1% (2,895)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7.1% (2,825)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(70)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Maternal and infant characteristics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Maternal age, years,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24.3 (6.0)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24.3 (6.0)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24.7 (5.8)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Pre-pregnancy BMI, kg/m&lt;c2&gt;&lt;b2&gt;,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22.8 (4.3)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22.8 (4.3)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21.9 (3.5)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3,422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3,340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Race and ethnicity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White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48.3% (19,643)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47.8% (19,104)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77.0% (539)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Black</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44.1% (17,943)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44.6% (17,825)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16.9% (118)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Puerto Rican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6.7% (2,711)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6.7% (2,676)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5.0% (35)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Other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 (403)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 (395)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 (8)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Education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Less than high school</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17.0% (6,851)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17.1% (6,773)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11.3% (78)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Some high school</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39.2% (15,791)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39.4% (15,612)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25.9% (179)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High school graduate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30.9% (12,468)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30.8% (12,197)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39.3% (271)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Some college or more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12.9% (5,194)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12.7% (5,032)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23.5% (162)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386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Family income, per year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$1,999 or less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 (115)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0.3% (114)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0.2% (1)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$2,000 to $3,999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13.6% (5,209)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13.7% (5,152)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8.6% (57)</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$4,000 to $5,999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42.5% (16,298)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42.7% (16,101)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29.6% (197)</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$6,000 to $7,999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24.8% (9,521)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24.7% (9,322)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29.9% (199)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$8,000 to $9,999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11.6% (4,454)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11.6% (4,359)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14.3% (95)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$10,000 to $14,999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4.2% (1,629)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4.2% (1,567)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9.3% (62)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$15,000 or more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 (1,142)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2.9% (1,088)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8.1% (54)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2,297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Marital status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Married or common law</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78.5% (31,960)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78.4% (31,357)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86.1% (603)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Single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13.5% (5,475)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13.6% (5,421)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7.7% (54)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Widowed, divorced, or separated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8.0% (3,265)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8.1% (3,222)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6.1% (43)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Smoking during pregnancy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Non-smoker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52.5% (21,236)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52.5% (20,875)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51.8% (361)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 to 19 cigarettes per day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30.4% (12,315)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30.5% (12,137)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25.5% (178)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20 or more cigarettes per day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17.1% (6,910)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17.0% (6,752)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22.7% (158)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Parity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30.1% (12,149)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30.0% (11,885)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37.9% (264)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23.0% (9,269)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23.0% (9,111)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22.7% (158)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16.2% (6,540)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16.2% (6,428)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16.1% (112)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11.3% (4,559)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11.3% (4,495)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9.2% (64)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4 or more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19.4% (7,841)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19.5% (7,743)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14.1% (98)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342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338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Pre-pregnancy diabetes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98.5% (40,095)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98.5% (39,414)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97.3% (681)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Yes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 (600)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1.5% (581)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2.7% (19)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Chronic hypertension</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94.2% (38,323)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94.2% (37,660)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94.7% (663)</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Yes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5.8% (2,371)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5.8% (2,334)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5.3% (37)</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Infant sex</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Female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49.3% (20,077)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49.1% (19,649)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61.1% (428)</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Male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50.7% (20,623)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50.9% (20,351)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38.9% (272)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Perinatal characteristics (not adjusted for)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Gestational age at delivery, weeks,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39.4 (3.2)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39.4 (3.2)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39.5 (3.0)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Preterm birth (&lt;37 weeks)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87.3% (35,353)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87.3% (34,738)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88.0% (615)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Yes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12.7% (5,148)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12.7% (5,064)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12.0% (84)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val="false"/>
                <w:bCs w:val="false"/>
                <w:sz w:val="16"/>
                <w:szCs w:val="16"/>
              </w:rPr>
              <w:t xml:space="preserve">Birthweight, g, mean (SD)</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3191 (531)</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3191 (530)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3175 (576)</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Small for gestational age infant</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92.0% (37,428)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92.0% (36,789)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91.3% (639)</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Yes</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8.0% (3,255)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8.0% (3,194)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8.7% (61)</w:t>
            </w:r>
          </w:p>
        </w:tc>
      </w:tr>
      <w:tr>
        <w:trPr>
          <w:cantSplit/>
        </w:trPr>
        <w:tc>
          <w:tcPr>
            <w:tcW w:type="dxa" w:w="39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Missing</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0</w:t>
            </w:r>
          </w:p>
        </w:tc>
      </w:tr>
    </w:tbl>
    <w:p>
      <w:pPr>
        <w:spacing w:after="0" w:before="60" w:line="240"/>
      </w:pPr>
      <w:r>
        <w:rPr>
          <w:rFonts w:ascii="Times New Roman" w:cs="Times New Roman" w:eastAsia="Times New Roman" w:hAnsi="Times New Roman"/>
          <w:sz w:val="16"/>
          <w:szCs w:val="16"/>
        </w:rPr>
        <w:t xml:space="preserve">Values are % (n) unless stated otherwise. MVM, maternal vascular malperfusion. AI, acute inflammation. BMI, body mass index. SD, standard deviation.</w:t>
      </w:r>
    </w:p>
    <w:p>
      <w:r>
        <w:br w:type="page"/>
      </w:r>
    </w:p>
    <w:p>
      <w:pPr>
        <w:keepNext/>
        <w:spacing w:after="120" w:before="0" w:line="276"/>
      </w:pPr>
      <w:r>
        <w:rPr>
          <w:rFonts w:ascii="Times New Roman" w:cs="Times New Roman" w:eastAsia="Times New Roman" w:hAnsi="Times New Roman"/>
          <w:b/>
          <w:bCs/>
          <w:sz w:val="20"/>
          <w:szCs w:val="20"/>
        </w:rPr>
        <w:t xml:space="preserve">Table S2. </w:t>
      </w:r>
      <w:r>
        <w:rPr>
          <w:rFonts w:ascii="Times New Roman" w:cs="Times New Roman" w:eastAsia="Times New Roman" w:hAnsi="Times New Roman"/>
          <w:sz w:val="20"/>
          <w:szCs w:val="20"/>
        </w:rPr>
        <w:t xml:space="preserve">Placental diagnoses, follow-up, and definite infantile haemangioma (IH) by Collaborative Perinatal Project study site (45,268 pregnancies).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250"/>
        <w:gridCol w:w="1250"/>
        <w:gridCol w:w="1300"/>
        <w:gridCol w:w="1300"/>
        <w:gridCol w:w="1260"/>
      </w:tblGrid>
      <w:tr>
        <w:trPr>
          <w:tblHeader/>
        </w:trPr>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Site</w:t>
            </w:r>
          </w:p>
        </w:tc>
        <w:tc>
          <w:tcPr>
            <w:tcW w:type="dxa" w:w="1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Pregnancies</w:t>
            </w:r>
          </w:p>
        </w:tc>
        <w:tc>
          <w:tcPr>
            <w:tcW w:type="dxa" w:w="12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Any MVM</w:t>
            </w:r>
          </w:p>
        </w:tc>
        <w:tc>
          <w:tcPr>
            <w:tcW w:type="dxa" w:w="12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Any AI</w:t>
            </w:r>
          </w:p>
        </w:tc>
        <w:tc>
          <w:tcPr>
            <w:tcW w:type="dxa" w:w="13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Observed at one year</w:t>
            </w:r>
          </w:p>
        </w:tc>
        <w:tc>
          <w:tcPr>
            <w:tcW w:type="dxa" w:w="13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Definite IH, % (cases/N)</w:t>
            </w:r>
          </w:p>
        </w:tc>
        <w:tc>
          <w:tcPr>
            <w:tcW w:type="dxa" w:w="12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Site RR (95% CI)ᵃ</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5 Boston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10,570</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29.8% (3,153)</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27.6% (2,922)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91.4% (9,660)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3.0% (290/9,660)</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 REF</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10 Buffalo</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2,275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28.5% (648)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20.5% (467)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95.9% (2,182)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3.6% (79/2,182)</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0.90 (0.69, 1.16)</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15 New Orleans</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2,495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33.1% (825)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19.8% (495)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93.5% (2,332)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 (23/2,332)</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1.17 (0.68, 2.01)</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31 New York (Columbia)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1,881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33.6% (632)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19.4% (364)</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93.7% (1,762)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1.9% (34/1,762)</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1.04 (0.70, 1.54)</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37 Baltimore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2,913</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25.7% (748)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15.0% (438)</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91.6% (2,667)</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0.6% (16/2,667)</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0.49 (0.28, 0.85)</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45 Virginia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2,585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80.3% (2,075)</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38.1% (985)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89.7% (2,319)</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2.1% (48/2,319)</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1.67 (1.14, 2.43)</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50 Minnesota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2,782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16.6% (461)</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23.0% (640)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93.1% (2,590)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3.0% (77/2,590)</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1.00 (0.77, 1.30)</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55 New York Medical College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3,869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23.0% (889)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17.7% (683)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84.3% (3,262)</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 (31/3,262)</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0.62 (0.36, 1.07)</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60 Oregon</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2,894</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20.4% (589)</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19.9% (576)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90.9% (2,630)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 (29/2,630)</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0.52 (0.35, 0.78)</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66 Pennsylvania</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8,206</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9.8% (803)</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17.8% (1,461)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87.0% (7,140)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0.4% (31/7,140)</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0.45 (0.29, 0.71)</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71 Providence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3,722</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42.7% (1,588)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26.9% (1,001)</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84.4% (3,143)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 (38/3,143)</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0.49 (0.35, 0.69)</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82 Tennessee</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1,076</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65.8% (708)</w:t>
            </w:r>
          </w:p>
        </w:tc>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14.5% (156)</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94.1% (1,013)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0.4% (4/1,013)</w:t>
            </w:r>
          </w:p>
        </w:tc>
        <w:tc>
          <w:tcPr>
            <w:tcW w:type="dxa" w:w="12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0.44 (0.16, 1.23)</w:t>
            </w:r>
          </w:p>
        </w:tc>
      </w:tr>
      <w:tr>
        <w:trPr>
          <w:cantSplit/>
        </w:trPr>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All sites</w:t>
            </w:r>
          </w:p>
        </w:tc>
        <w:tc>
          <w:tcPr>
            <w:tcW w:type="dxa" w:w="1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45,268</w:t>
            </w:r>
          </w:p>
        </w:tc>
        <w:tc>
          <w:tcPr>
            <w:tcW w:type="dxa" w:w="12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29.0% (13,119)</w:t>
            </w:r>
          </w:p>
        </w:tc>
        <w:tc>
          <w:tcPr>
            <w:tcW w:type="dxa" w:w="12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22.5% (10,188)</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89.9% (40,700)</w:t>
            </w:r>
          </w:p>
        </w:tc>
        <w:tc>
          <w:tcPr>
            <w:tcW w:type="dxa" w:w="13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1.7% (700/40,700)</w:t>
            </w:r>
          </w:p>
        </w:tc>
        <w:tc>
          <w:tcPr>
            <w:tcW w:type="dxa" w:w="12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
            </w:r>
          </w:p>
        </w:tc>
      </w:tr>
    </w:tbl>
    <w:p>
      <w:pPr>
        <w:spacing w:after="0" w:before="60" w:line="240"/>
      </w:pPr>
      <w:r>
        <w:rPr>
          <w:rFonts w:ascii="Times New Roman" w:cs="Times New Roman" w:eastAsia="Times New Roman" w:hAnsi="Times New Roman"/>
          <w:sz w:val="16"/>
          <w:szCs w:val="16"/>
        </w:rPr>
        <w:t xml:space="preserve">ᵃRelative risk of definite IH for each site compared with Boston, from the primary model for any MVM (adjusted for 11 covariates, with inverse probability of censoring weights). Site names other than Boston are from the study team's site mapping and should be confirmed against CPP documentation. MVM, maternal vascular malperfusion. AI, acute inflammation.</w:t>
      </w:r>
    </w:p>
    <w:p>
      <w:r>
        <w:br w:type="page"/>
      </w:r>
    </w:p>
    <w:p>
      <w:pPr>
        <w:keepNext/>
        <w:spacing w:after="120" w:before="0" w:line="276"/>
      </w:pPr>
      <w:r>
        <w:rPr>
          <w:rFonts w:ascii="Times New Roman" w:cs="Times New Roman" w:eastAsia="Times New Roman" w:hAnsi="Times New Roman"/>
          <w:b/>
          <w:bCs/>
          <w:sz w:val="20"/>
          <w:szCs w:val="20"/>
        </w:rPr>
        <w:t xml:space="preserve">Table S3. </w:t>
      </w:r>
      <w:r>
        <w:rPr>
          <w:rFonts w:ascii="Times New Roman" w:cs="Times New Roman" w:eastAsia="Times New Roman" w:hAnsi="Times New Roman"/>
          <w:sz w:val="20"/>
          <w:szCs w:val="20"/>
        </w:rPr>
        <w:t xml:space="preserve">Additive and multiplicative interaction between maternal vascular malperfusion (MVM) and acute inflammation (AI) for definite infantile haemangioma.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Measure</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Crude</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Primary</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Secondary</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RR, MVM only vs 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1.18 (0.98, 1.42)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1.08 (0.89, 1.32)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1.18 (0.98, 1.42)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RR, AI only vs 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1.19 (0.96, 1.47)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1.07 (0.86, 1.32)</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1.11 (0.90, 1.37)</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RR, both vs neither</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1.55 (1.20, 1.99)</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1.37 (1.05, 1.78)</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1.57 (1.22, 2.02)</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RERI (additive, 0 = 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0.18 (−0.28, 0.65)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0.22 (−0.20, 0.64)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0.28 (−0.18, 0.74)</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Attributable proportion, AP (additive, 0 = 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0.12 (−0.16, 0.40)</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0.16 (−0.12, 0.44)</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0.18 (−0.09, 0.45)</w:t>
            </w:r>
          </w:p>
        </w:tc>
      </w:tr>
      <w:tr>
        <w:trPr>
          <w:cantSplit/>
        </w:trPr>
        <w:tc>
          <w:tcPr>
            <w:tcW w:type="dxa" w:w="39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Synergy index, S (additive, 1 = 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1.51 (0.51, 4.46)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2.46 (0.27, 22.76)</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1.97 (0.56, 6.94)</w:t>
            </w:r>
          </w:p>
        </w:tc>
      </w:tr>
      <w:tr>
        <w:trPr>
          <w:cantSplit/>
        </w:trPr>
        <w:tc>
          <w:tcPr>
            <w:tcW w:type="dxa" w:w="39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Ratio of RRs (multiplicative, 1 = none)</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1.11 (0.78, 1.57)</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1.18 (0.83, 1.68)</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1.20 (0.85, 1.70)</w:t>
            </w:r>
          </w:p>
        </w:tc>
      </w:tr>
    </w:tbl>
    <w:p>
      <w:pPr>
        <w:spacing w:after="0" w:before="60" w:line="240"/>
      </w:pPr>
      <w:r>
        <w:rPr>
          <w:rFonts w:ascii="Times New Roman" w:cs="Times New Roman" w:eastAsia="Times New Roman" w:hAnsi="Times New Roman"/>
          <w:sz w:val="16"/>
          <w:szCs w:val="16"/>
        </w:rPr>
        <w:t xml:space="preserve">Estimates (95% CI) from the four-level joint exposure (reference: neither). CIs by the delta method using the pooled variance-covariance matrix. RERI, relative excess risk due to interaction. The synergy index is unstable when the single-exposure RRs are close to 1 and is shown for completeness. Primary: adjusted for 11 covariates and study site, with inverse probability of censoring weights. Secondary: as primary without study site. Definite IH, 700 cases among 40,700 infants, unless stated otherwise.</w:t>
      </w:r>
    </w:p>
    <w:p>
      <w:r>
        <w:br w:type="page"/>
      </w:r>
    </w:p>
    <w:p>
      <w:pPr>
        <w:keepNext/>
        <w:spacing w:after="120" w:before="0" w:line="276"/>
      </w:pPr>
      <w:r>
        <w:rPr>
          <w:rFonts w:ascii="Times New Roman" w:cs="Times New Roman" w:eastAsia="Times New Roman" w:hAnsi="Times New Roman"/>
          <w:b/>
          <w:bCs/>
          <w:sz w:val="20"/>
          <w:szCs w:val="20"/>
        </w:rPr>
        <w:t xml:space="preserve">Table S4. </w:t>
      </w:r>
      <w:r>
        <w:rPr>
          <w:rFonts w:ascii="Times New Roman" w:cs="Times New Roman" w:eastAsia="Times New Roman" w:hAnsi="Times New Roman"/>
          <w:sz w:val="20"/>
          <w:szCs w:val="20"/>
        </w:rPr>
        <w:t xml:space="preserve">Mutually adjusted associations of maternal vascular malperfusion (MVM) and acute inflammation (AI) with definite infantile haemangioma.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80"/>
        <w:gridCol w:w="1480"/>
        <w:gridCol w:w="1480"/>
        <w:gridCol w:w="1520"/>
      </w:tblGrid>
      <w:tr>
        <w:trPr>
          <w:tblHeader/>
        </w:trPr>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Exposure</w:t>
            </w:r>
          </w:p>
        </w:tc>
        <w:tc>
          <w:tcPr>
            <w:tcW w:type="dxa" w:w="14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Mutually adjusted for</w:t>
            </w:r>
          </w:p>
        </w:tc>
        <w:tc>
          <w:tcPr>
            <w:tcW w:type="dxa" w:w="14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Crude</w:t>
            </w:r>
          </w:p>
        </w:tc>
        <w:tc>
          <w:tcPr>
            <w:tcW w:type="dxa" w:w="14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Primary</w:t>
            </w:r>
          </w:p>
        </w:tc>
        <w:tc>
          <w:tcPr>
            <w:tcW w:type="dxa" w:w="148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Secondary</w:t>
            </w:r>
          </w:p>
        </w:tc>
        <w:tc>
          <w:tcPr>
            <w:tcW w:type="dxa" w:w="152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Primary, single exposure</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MVM any vs none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AI any</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1.21 (1.03, 1.42)</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1.24 (1.06, 1.45)</w:t>
            </w:r>
          </w:p>
        </w:tc>
        <w:tc>
          <w:tcPr>
            <w:tcW w:type="dxa" w:w="152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MVM score, per 1 point</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AI score</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1.09 (1.01, 1.18)</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1.05 (0.96, 1.15)</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1.12 (1.03, 1.21)</w:t>
            </w:r>
          </w:p>
        </w:tc>
        <w:tc>
          <w:tcPr>
            <w:tcW w:type="dxa" w:w="152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1.05 (0.97, 1.15)</w:t>
            </w:r>
          </w:p>
        </w:tc>
      </w:tr>
      <w:tr>
        <w:trPr>
          <w:cantSplit/>
        </w:trPr>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AI any vs none</w:t>
            </w:r>
          </w:p>
        </w:tc>
        <w:tc>
          <w:tcPr>
            <w:tcW w:type="dxa" w:w="14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MVM any</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1.23 (1.04, 1.46)</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1.13 (0.96, 1.34)</w:t>
            </w:r>
          </w:p>
        </w:tc>
        <w:tc>
          <w:tcPr>
            <w:tcW w:type="dxa" w:w="148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1.19 (1.01, 1.41)</w:t>
            </w:r>
          </w:p>
        </w:tc>
        <w:tc>
          <w:tcPr>
            <w:tcW w:type="dxa" w:w="152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r>
      <w:tr>
        <w:trPr>
          <w:cantSplit/>
        </w:trPr>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AI score, per 1 compartment</w:t>
            </w:r>
          </w:p>
        </w:tc>
        <w:tc>
          <w:tcPr>
            <w:tcW w:type="dxa" w:w="14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MVM score</w:t>
            </w:r>
          </w:p>
        </w:tc>
        <w:tc>
          <w:tcPr>
            <w:tcW w:type="dxa" w:w="14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1.08)</w:t>
            </w:r>
          </w:p>
        </w:tc>
        <w:tc>
          <w:tcPr>
            <w:tcW w:type="dxa" w:w="14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1.08)</w:t>
            </w:r>
          </w:p>
        </w:tc>
        <w:tc>
          <w:tcPr>
            <w:tcW w:type="dxa" w:w="148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1.04 (0.99, 1.09)</w:t>
            </w:r>
          </w:p>
        </w:tc>
        <w:tc>
          <w:tcPr>
            <w:tcW w:type="dxa" w:w="152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1.08)</w:t>
            </w:r>
          </w:p>
        </w:tc>
      </w:tr>
    </w:tbl>
    <w:p>
      <w:pPr>
        <w:spacing w:after="0" w:before="60" w:line="240"/>
      </w:pPr>
      <w:r>
        <w:rPr>
          <w:rFonts w:ascii="Times New Roman" w:cs="Times New Roman" w:eastAsia="Times New Roman" w:hAnsi="Times New Roman"/>
          <w:sz w:val="16"/>
          <w:szCs w:val="16"/>
        </w:rPr>
        <w:t xml:space="preserve">Relative risks (95% CI). Primary: adjusted for 11 covariates and study site, with inverse probability of censoring weights. Secondary: as primary without study site. Definite IH, 700 cases among 40,700 infants, unless stated otherwise.</w:t>
      </w:r>
    </w:p>
    <w:p>
      <w:r>
        <w:br w:type="page"/>
      </w:r>
    </w:p>
    <w:p>
      <w:pPr>
        <w:keepNext/>
        <w:spacing w:after="120" w:before="0" w:line="276"/>
      </w:pPr>
      <w:r>
        <w:rPr>
          <w:rFonts w:ascii="Times New Roman" w:cs="Times New Roman" w:eastAsia="Times New Roman" w:hAnsi="Times New Roman"/>
          <w:b/>
          <w:bCs/>
          <w:sz w:val="20"/>
          <w:szCs w:val="20"/>
        </w:rPr>
        <w:t xml:space="preserve">Table S5. </w:t>
      </w:r>
      <w:r>
        <w:rPr>
          <w:rFonts w:ascii="Times New Roman" w:cs="Times New Roman" w:eastAsia="Times New Roman" w:hAnsi="Times New Roman"/>
          <w:sz w:val="20"/>
          <w:szCs w:val="20"/>
        </w:rPr>
        <w:t xml:space="preserve">Associations of maternal vascular malperfusion (MVM) grade and acute inflammation (AI) stage with definite infantile haemangioma (IH).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800"/>
        <w:gridCol w:w="1700"/>
        <w:gridCol w:w="1700"/>
        <w:gridCol w:w="1800"/>
      </w:tblGrid>
      <w:tr>
        <w:trPr>
          <w:tblHeader/>
        </w:trPr>
        <w:tc>
          <w:tcPr>
            <w:tcW w:type="dxa" w:w="23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Exposure</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IH, % (cases/N)</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Crude</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Primary</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Secondary</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MVM grade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 (475/29,376)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Low</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2.0% (192/9,556)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1.24 (1.05, 1.46)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1.15 (0.96, 1.37)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1.25 (1.06, 1.47)</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High</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1.9% (33/1,768)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1.16 (0.81, 1.64)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1.09 (0.77, 1.55)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1.28 (0.90, 1.81)</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AI stage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None</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1.6% (519/31,820)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 REF</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Low</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2.4% (106/4,376)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1.48 (1.20, 1.82)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1.26 (1.02, 1.55)</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1.32 (1.07, 1.63)</w:t>
            </w:r>
          </w:p>
        </w:tc>
      </w:tr>
      <w:tr>
        <w:trPr>
          <w:cantSplit/>
        </w:trPr>
        <w:tc>
          <w:tcPr>
            <w:tcW w:type="dxa" w:w="23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ind w:left="200"/>
              <w:jc w:val="left"/>
            </w:pPr>
            <w:r>
              <w:rPr>
                <w:rFonts w:ascii="Times New Roman" w:cs="Times New Roman" w:eastAsia="Times New Roman" w:hAnsi="Times New Roman"/>
                <w:b w:val="false"/>
                <w:bCs w:val="false"/>
                <w:sz w:val="16"/>
                <w:szCs w:val="16"/>
              </w:rPr>
              <w:t xml:space="preserve">High</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1.7% (75/4,504)</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1.02 (0.80, 1.30)</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1.00 (0.78, 1.28)</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val="false"/>
                <w:bCs w:val="false"/>
                <w:sz w:val="16"/>
                <w:szCs w:val="16"/>
              </w:rPr>
              <w:t xml:space="preserve">1.07 (0.84, 1.36)</w:t>
            </w:r>
          </w:p>
        </w:tc>
      </w:tr>
    </w:tbl>
    <w:p>
      <w:pPr>
        <w:spacing w:after="0" w:before="60" w:line="240"/>
      </w:pPr>
      <w:r>
        <w:rPr>
          <w:rFonts w:ascii="Times New Roman" w:cs="Times New Roman" w:eastAsia="Times New Roman" w:hAnsi="Times New Roman"/>
          <w:sz w:val="16"/>
          <w:szCs w:val="16"/>
        </w:rPr>
        <w:t xml:space="preserve">Relative risks (95% CI). MVM grade: low, score 1 to 2. High, score 3 or more. AI stage as recorded in the CPP placental dataset. Primary: adjusted for 11 covariates and study site, with inverse probability of censoring weights. Secondary: as primary without study site. Definite IH, 700 cases among 40,700 infants, unless stated otherwise.</w:t>
      </w:r>
    </w:p>
    <w:p>
      <w:r>
        <w:br w:type="page"/>
      </w:r>
    </w:p>
    <w:p>
      <w:pPr>
        <w:keepNext/>
        <w:spacing w:after="120" w:before="0" w:line="276"/>
      </w:pPr>
      <w:r>
        <w:rPr>
          <w:rFonts w:ascii="Times New Roman" w:cs="Times New Roman" w:eastAsia="Times New Roman" w:hAnsi="Times New Roman"/>
          <w:b/>
          <w:bCs/>
          <w:sz w:val="20"/>
          <w:szCs w:val="20"/>
        </w:rPr>
        <w:t xml:space="preserve">Table S6. </w:t>
      </w:r>
      <w:r>
        <w:rPr>
          <w:rFonts w:ascii="Times New Roman" w:cs="Times New Roman" w:eastAsia="Times New Roman" w:hAnsi="Times New Roman"/>
          <w:sz w:val="20"/>
          <w:szCs w:val="20"/>
        </w:rPr>
        <w:t xml:space="preserve">Associations of acute inflammation (AI) by maternal or foetal involvement with definite infantile haemangioma (IH).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800"/>
        <w:gridCol w:w="1700"/>
        <w:gridCol w:w="1700"/>
        <w:gridCol w:w="1800"/>
      </w:tblGrid>
      <w:tr>
        <w:trPr>
          <w:tblHeader/>
        </w:trPr>
        <w:tc>
          <w:tcPr>
            <w:tcW w:type="dxa" w:w="23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AI involvement</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IH, % (cases/N)</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Crude</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Primary</w:t>
            </w:r>
          </w:p>
        </w:tc>
        <w:tc>
          <w:tcPr>
            <w:tcW w:type="dxa" w:w="18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Secondary</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No AI</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1.6% (519/31,820)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 REF</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 REF</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 REF</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Maternal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1.6% (52/3,293)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0.97 (0.73, 1.28)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1.07 (0.81, 1.43)</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1.13 (0.85, 1.50)</w:t>
            </w:r>
          </w:p>
        </w:tc>
      </w:tr>
      <w:tr>
        <w:trPr>
          <w:cantSplit/>
        </w:trPr>
        <w:tc>
          <w:tcPr>
            <w:tcW w:type="dxa" w:w="2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Foetal only</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2.7% (61/2,224)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1.67 (1.29, 2.18)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1.12 (0.86, 1.47)</w:t>
            </w:r>
          </w:p>
        </w:tc>
        <w:tc>
          <w:tcPr>
            <w:tcW w:type="dxa" w:w="18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1.22 (0.93, 1.58)</w:t>
            </w:r>
          </w:p>
        </w:tc>
      </w:tr>
      <w:tr>
        <w:trPr>
          <w:cantSplit/>
        </w:trPr>
        <w:tc>
          <w:tcPr>
            <w:tcW w:type="dxa" w:w="23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Maternal and foetal</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2.0% (68/3,363)</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1.24 (0.96, 1.59)</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1.20 (0.94, 1.55)</w:t>
            </w:r>
          </w:p>
        </w:tc>
        <w:tc>
          <w:tcPr>
            <w:tcW w:type="dxa" w:w="18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1.25 (0.97, 1.61)</w:t>
            </w:r>
          </w:p>
        </w:tc>
      </w:tr>
    </w:tbl>
    <w:p>
      <w:pPr>
        <w:spacing w:after="0" w:before="60" w:line="240"/>
      </w:pPr>
      <w:r>
        <w:rPr>
          <w:rFonts w:ascii="Times New Roman" w:cs="Times New Roman" w:eastAsia="Times New Roman" w:hAnsi="Times New Roman"/>
          <w:sz w:val="16"/>
          <w:szCs w:val="16"/>
        </w:rPr>
        <w:t xml:space="preserve">Relative risks (95% CI). Maternal response: amnion or chorion of the membrane roll or placental surface. Foetal response: umbilical vein, umbilical artery, or foetal surface vessels. Among placentas with foetal-only inflammation (n = 2,224), the umbilical vein was involved in 87.8%, the umbilical artery in 8.7%, and foetal surface vessels in 13.9%. Primary: adjusted for 11 covariates and study site, with inverse probability of censoring weights. Secondary: as primary without study site. Definite IH, 700 cases among 40,700 infants, unless stated otherwise.</w:t>
      </w:r>
    </w:p>
    <w:p>
      <w:r>
        <w:br w:type="page"/>
      </w:r>
    </w:p>
    <w:p>
      <w:pPr>
        <w:keepNext/>
        <w:spacing w:after="120" w:before="0" w:line="276"/>
      </w:pPr>
      <w:r>
        <w:rPr>
          <w:rFonts w:ascii="Times New Roman" w:cs="Times New Roman" w:eastAsia="Times New Roman" w:hAnsi="Times New Roman"/>
          <w:b/>
          <w:bCs/>
          <w:sz w:val="20"/>
          <w:szCs w:val="20"/>
        </w:rPr>
        <w:t xml:space="preserve">Table S7. </w:t>
      </w:r>
      <w:r>
        <w:rPr>
          <w:rFonts w:ascii="Times New Roman" w:cs="Times New Roman" w:eastAsia="Times New Roman" w:hAnsi="Times New Roman"/>
          <w:sz w:val="20"/>
          <w:szCs w:val="20"/>
        </w:rPr>
        <w:t xml:space="preserve">Sequential adjustment of associations of placental pathology with definite infantile haemangioma.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Model</w:t>
            </w:r>
          </w:p>
        </w:tc>
        <w:tc>
          <w:tcPr>
            <w:tcW w:type="dxa" w:w="15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Any MVM</w:t>
            </w:r>
          </w:p>
        </w:tc>
        <w:tc>
          <w:tcPr>
            <w:tcW w:type="dxa" w:w="15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MVM score, per point</w:t>
            </w:r>
          </w:p>
        </w:tc>
        <w:tc>
          <w:tcPr>
            <w:tcW w:type="dxa" w:w="15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Any AI</w:t>
            </w:r>
          </w:p>
        </w:tc>
        <w:tc>
          <w:tcPr>
            <w:tcW w:type="dxa" w:w="155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AI score, per compartment</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Crude</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1.22 (1.05, 1.43)</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1.09 (1.01, 1.18)</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1.25 (1.06, 1.47)</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1.09)</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 Demographic factorsᵃ</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1.25 (1.07, 1.46)</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1.13 (1.04, 1.23)</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1.18 (1.00, 1.40)</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1.04 (0.98, 1.09)</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 Health factorsᵇ</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1.24 (1.06, 1.45)</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1.12 (1.04, 1.22)</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1.19 (1.01, 1.41)</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1.04 (0.99, 1.09)</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 Parity and infant sex (all 11 covariates)</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1.26 (1.07, 1.47)</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1.12 (1.04, 1.22)</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1.20 (1.01, 1.42)</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1.04 (0.99, 1.09)</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 Study site</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1.06 (0.97, 1.15)</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1.13 (0.96, 1.34)</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1.08)</w:t>
            </w:r>
          </w:p>
        </w:tc>
      </w:tr>
      <w:tr>
        <w:trPr>
          <w:cantSplit/>
        </w:trPr>
        <w:tc>
          <w:tcPr>
            <w:tcW w:type="dxa" w:w="31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Secondary: 11 covariates + IPW</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1.25 (1.07, 1.46)</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1.12 (1.03, 1.21)</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1.20 (1.02, 1.42)</w:t>
            </w:r>
          </w:p>
        </w:tc>
        <w:tc>
          <w:tcPr>
            <w:tcW w:type="dxa" w:w="155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1.04 (0.99, 1.09)</w:t>
            </w:r>
          </w:p>
        </w:tc>
      </w:tr>
      <w:tr>
        <w:trPr>
          <w:cantSplit/>
        </w:trPr>
        <w:tc>
          <w:tcPr>
            <w:tcW w:type="dxa" w:w="31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Primary: 11 covariates + study site + IPW</w:t>
            </w:r>
          </w:p>
        </w:tc>
        <w:tc>
          <w:tcPr>
            <w:tcW w:type="dxa" w:w="15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c>
          <w:tcPr>
            <w:tcW w:type="dxa" w:w="15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1.05 (0.97, 1.15)</w:t>
            </w:r>
          </w:p>
        </w:tc>
        <w:tc>
          <w:tcPr>
            <w:tcW w:type="dxa" w:w="15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c>
          <w:tcPr>
            <w:tcW w:type="dxa" w:w="155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1.08)</w:t>
            </w:r>
          </w:p>
        </w:tc>
      </w:tr>
    </w:tbl>
    <w:p>
      <w:pPr>
        <w:spacing w:after="0" w:before="60" w:line="240"/>
      </w:pPr>
      <w:r>
        <w:rPr>
          <w:rFonts w:ascii="Times New Roman" w:cs="Times New Roman" w:eastAsia="Times New Roman" w:hAnsi="Times New Roman"/>
          <w:sz w:val="16"/>
          <w:szCs w:val="16"/>
        </w:rPr>
        <w:t xml:space="preserve">Relative risks (95% CI). Covariate groups were added cumulatively without weights, followed by the secondary and primary models with inverse probability of censoring weights (IPW). ᵃMaternal age, race and ethnicity, education, income, marital status. ᵇPre-pregnancy body mass index, smoking, pre-pregnancy diabetes, chronic hypertension. MVM, maternal vascular malperfusion. AI, acute inflammation.</w:t>
      </w:r>
    </w:p>
    <w:p>
      <w:r>
        <w:br w:type="page"/>
      </w:r>
    </w:p>
    <w:p>
      <w:pPr>
        <w:keepNext/>
        <w:spacing w:after="120" w:before="0" w:line="276"/>
      </w:pPr>
      <w:r>
        <w:rPr>
          <w:rFonts w:ascii="Times New Roman" w:cs="Times New Roman" w:eastAsia="Times New Roman" w:hAnsi="Times New Roman"/>
          <w:b/>
          <w:bCs/>
          <w:sz w:val="20"/>
          <w:szCs w:val="20"/>
        </w:rPr>
        <w:t xml:space="preserve">Table S8. </w:t>
      </w:r>
      <w:r>
        <w:rPr>
          <w:rFonts w:ascii="Times New Roman" w:cs="Times New Roman" w:eastAsia="Times New Roman" w:hAnsi="Times New Roman"/>
          <w:sz w:val="20"/>
          <w:szCs w:val="20"/>
        </w:rPr>
        <w:t xml:space="preserve">Associations of placental pathology with definite infantile haemangioma, with study site as a fixed or random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Exposure</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Crude</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Site as fixed effect (primary)</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Site as random effect</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No site (secondary)</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Any MVM</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1.22 (1.05, 1.43)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1.16 (0.98, 1.37)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1.25 (1.07, 1.46)</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MVM score, per point</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1.09 (1.01, 1.18)</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1.05 (0.97, 1.15)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1.07 (0.97, 1.17)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1.12 (1.03, 1.21)</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Any AI</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1.25 (1.06, 1.47)</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1.15 (0.97, 1.36)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1.20 (1.02, 1.42)</w:t>
            </w:r>
          </w:p>
        </w:tc>
      </w:tr>
      <w:tr>
        <w:trPr>
          <w:cantSplit/>
        </w:trPr>
        <w:tc>
          <w:tcPr>
            <w:tcW w:type="dxa" w:w="25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AI score, per compartment</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1.09)</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1.08)</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1.08)</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1.04 (0.99, 1.09)</w:t>
            </w:r>
          </w:p>
        </w:tc>
      </w:tr>
    </w:tbl>
    <w:p>
      <w:pPr>
        <w:spacing w:after="0" w:before="60" w:line="240"/>
      </w:pPr>
      <w:r>
        <w:rPr>
          <w:rFonts w:ascii="Times New Roman" w:cs="Times New Roman" w:eastAsia="Times New Roman" w:hAnsi="Times New Roman"/>
          <w:sz w:val="16"/>
          <w:szCs w:val="16"/>
        </w:rPr>
        <w:t xml:space="preserve">Relative risks (95% CI). Random-effect models were Poisson models with a random intercept for study site, adjusted for 11 covariates with inverse probability of censoring weights. Median rate ratio for study site: 1.43 to 1.45. MVM, maternal vascular malperfusion. AI, acute inflammation.</w:t>
      </w:r>
    </w:p>
    <w:p>
      <w:r>
        <w:br w:type="page"/>
      </w:r>
    </w:p>
    <w:p>
      <w:pPr>
        <w:keepNext/>
        <w:spacing w:after="120" w:before="0" w:line="276"/>
      </w:pPr>
      <w:r>
        <w:rPr>
          <w:rFonts w:ascii="Times New Roman" w:cs="Times New Roman" w:eastAsia="Times New Roman" w:hAnsi="Times New Roman"/>
          <w:b/>
          <w:bCs/>
          <w:sz w:val="20"/>
          <w:szCs w:val="20"/>
        </w:rPr>
        <w:t xml:space="preserve">Table S9. </w:t>
      </w:r>
      <w:r>
        <w:rPr>
          <w:rFonts w:ascii="Times New Roman" w:cs="Times New Roman" w:eastAsia="Times New Roman" w:hAnsi="Times New Roman"/>
          <w:sz w:val="20"/>
          <w:szCs w:val="20"/>
        </w:rPr>
        <w:t xml:space="preserve">Associations of placental pathology with definite infantile haemangioma, stratified by the Boston centre and the other 11 centres.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Stratum</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Any MVM</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MVM score, per point</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Any AI</w:t>
            </w:r>
          </w:p>
        </w:tc>
        <w:tc>
          <w:tcPr>
            <w:tcW w:type="dxa" w:w="17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AI score, per compartment</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Boston </w:t>
            </w:r>
          </w:p>
          <w:p>
            <w:pPr>
              <w:spacing w:line="240"/>
              <w:jc w:val="left"/>
            </w:pPr>
            <w:r>
              <w:rPr>
                <w:rFonts w:ascii="Times New Roman" w:cs="Times New Roman" w:eastAsia="Times New Roman" w:hAnsi="Times New Roman"/>
                <w:sz w:val="16"/>
                <w:szCs w:val="16"/>
              </w:rPr>
              <w:t xml:space="preserve">(290 cases / 9,660)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1.11 (0.87, 1.42)</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1.01 (0.88, 1.16)</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1.28 (1.00, 1.63)</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1.07 (0.99, 1.15)</w:t>
            </w:r>
          </w:p>
        </w:tc>
      </w:tr>
      <w:tr>
        <w:trPr>
          <w:cantSplit/>
        </w:trPr>
        <w:tc>
          <w:tcPr>
            <w:tcW w:type="dxa" w:w="25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Other 11 centres </w:t>
            </w:r>
          </w:p>
          <w:p>
            <w:pPr>
              <w:spacing w:line="240"/>
              <w:jc w:val="left"/>
            </w:pPr>
            <w:r>
              <w:rPr>
                <w:rFonts w:ascii="Times New Roman" w:cs="Times New Roman" w:eastAsia="Times New Roman" w:hAnsi="Times New Roman"/>
                <w:sz w:val="16"/>
                <w:szCs w:val="16"/>
              </w:rPr>
              <w:t xml:space="preserve">(410 cases / 31,040)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(0.90, 1.44)</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1.07 (0.96, 1.20)</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(0.82, 1.31)</w:t>
            </w:r>
          </w:p>
        </w:tc>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1.00 (0.93, 1.07)</w:t>
            </w:r>
          </w:p>
        </w:tc>
      </w:tr>
      <w:tr>
        <w:trPr>
          <w:cantSplit/>
        </w:trPr>
        <w:tc>
          <w:tcPr>
            <w:tcW w:type="dxa" w:w="25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All centres (primary) </w:t>
            </w:r>
          </w:p>
          <w:p>
            <w:pPr>
              <w:spacing w:line="240"/>
              <w:jc w:val="left"/>
            </w:pPr>
            <w:r>
              <w:rPr>
                <w:rFonts w:ascii="Times New Roman" w:cs="Times New Roman" w:eastAsia="Times New Roman" w:hAnsi="Times New Roman"/>
                <w:sz w:val="16"/>
                <w:szCs w:val="16"/>
              </w:rPr>
              <w:t xml:space="preserve">(700 cases / 40,700)</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1.05 (0.97, 1.15)</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1.14 (0.96, 1.35)</w:t>
            </w:r>
          </w:p>
        </w:tc>
        <w:tc>
          <w:tcPr>
            <w:tcW w:type="dxa" w:w="17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1.03 (0.98, 1.08)</w:t>
            </w:r>
          </w:p>
        </w:tc>
      </w:tr>
    </w:tbl>
    <w:p>
      <w:pPr>
        <w:spacing w:after="0" w:before="60" w:line="240"/>
      </w:pPr>
      <w:r>
        <w:rPr>
          <w:rFonts w:ascii="Times New Roman" w:cs="Times New Roman" w:eastAsia="Times New Roman" w:hAnsi="Times New Roman"/>
          <w:sz w:val="16"/>
          <w:szCs w:val="16"/>
        </w:rPr>
        <w:t xml:space="preserve">Relative risks (95% CI), adjusted for 11 covariates with inverse probability of censoring weights, and for study site in the other 11 centres and all centres. In Boston, 92.6% of placentas were examined by one pathologist. MVM, maternal vascular malperfusion. AI, acute inflammation.</w:t>
      </w:r>
    </w:p>
    <w:p>
      <w:r>
        <w:br w:type="page"/>
      </w:r>
    </w:p>
    <w:p>
      <w:pPr>
        <w:keepNext/>
        <w:spacing w:after="120" w:before="0" w:line="276"/>
      </w:pPr>
      <w:r>
        <w:rPr>
          <w:rFonts w:ascii="Times New Roman" w:cs="Times New Roman" w:eastAsia="Times New Roman" w:hAnsi="Times New Roman"/>
          <w:b/>
          <w:bCs/>
          <w:sz w:val="20"/>
          <w:szCs w:val="20"/>
        </w:rPr>
        <w:t xml:space="preserve">Table S10. </w:t>
      </w:r>
      <w:r>
        <w:rPr>
          <w:rFonts w:ascii="Times New Roman" w:cs="Times New Roman" w:eastAsia="Times New Roman" w:hAnsi="Times New Roman"/>
          <w:sz w:val="20"/>
          <w:szCs w:val="20"/>
        </w:rPr>
        <w:t xml:space="preserve">Associations of placental pathology with infantile haemangioma when suspect cases are classified as IH (930 cases among 40,700 infants).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b/>
                <w:bCs/>
                <w:sz w:val="16"/>
                <w:szCs w:val="16"/>
              </w:rPr>
              <w:t xml:space="preserve">Exposure</w:t>
            </w:r>
          </w:p>
        </w:tc>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Crude</w:t>
            </w:r>
          </w:p>
        </w:tc>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Primary</w:t>
            </w:r>
          </w:p>
        </w:tc>
        <w:tc>
          <w:tcPr>
            <w:tcW w:type="dxa" w:w="2000"/>
            <w:tcBorders>
              <w:top w:val="single" w:color="000000" w:sz="8"/>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b/>
                <w:bCs/>
                <w:sz w:val="16"/>
                <w:szCs w:val="16"/>
              </w:rPr>
              <w:t xml:space="preserve">Secondary</w:t>
            </w:r>
          </w:p>
        </w:tc>
      </w:tr>
      <w:tr>
        <w:trPr>
          <w:cantSplit/>
        </w:trPr>
        <w:tc>
          <w:tcPr>
            <w:tcW w:type="dxa" w:w="3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Any MVM</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1.25 (1.09, 1.43)</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1.13 (0.98, 1.30)</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1.26 (1.10, 1.45)</w:t>
            </w:r>
          </w:p>
        </w:tc>
      </w:tr>
      <w:tr>
        <w:trPr>
          <w:cantSplit/>
        </w:trPr>
        <w:tc>
          <w:tcPr>
            <w:tcW w:type="dxa" w:w="336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MVM score, per point</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1.09 (1.01, 1.16)</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1.04 (0.96, 1.12)</w:t>
            </w:r>
          </w:p>
        </w:tc>
        <w:tc>
          <w:tcPr>
            <w:tcW w:type="dxa" w:w="2000"/>
            <w:tcBorders>
              <w:top w:val="none" w:color="FFFFFF" w:sz="0"/>
              <w:left w:val="none" w:color="FFFFFF" w:sz="0"/>
              <w:bottom w:val="none" w:color="FFFFFF" w:sz="0"/>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1.11 (1.04, 1.19)</w:t>
            </w:r>
          </w:p>
        </w:tc>
      </w:tr>
      <w:tr>
        <w:trPr>
          <w:cantSplit/>
        </w:trPr>
        <w:tc>
          <w:tcPr>
            <w:tcW w:type="dxa" w:w="336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left"/>
            </w:pPr>
            <w:r>
              <w:rPr>
                <w:rFonts w:ascii="Times New Roman" w:cs="Times New Roman" w:eastAsia="Times New Roman" w:hAnsi="Times New Roman"/>
                <w:sz w:val="16"/>
                <w:szCs w:val="16"/>
              </w:rPr>
              <w:t xml:space="preserve">Any AI</w:t>
            </w:r>
          </w:p>
        </w:tc>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1.25 (1.08, 1.45)</w:t>
            </w:r>
          </w:p>
        </w:tc>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1.10 (0.95, 1.27)</w:t>
            </w:r>
          </w:p>
        </w:tc>
        <w:tc>
          <w:tcPr>
            <w:tcW w:type="dxa" w:w="2000"/>
            <w:tcBorders>
              <w:top w:val="none" w:color="FFFFFF" w:sz="0"/>
              <w:left w:val="none" w:color="FFFFFF" w:sz="0"/>
              <w:bottom w:val="single" w:color="000000" w:sz="8"/>
              <w:right w:val="none" w:color="FFFFFF" w:sz="0"/>
            </w:tcBorders>
            <w:tcMar>
              <w:top w:type="dxa" w:w="30"/>
              <w:left w:type="dxa" w:w="60"/>
              <w:bottom w:type="dxa" w:w="30"/>
              <w:right w:type="dxa" w:w="60"/>
            </w:tcMar>
          </w:tcPr>
          <w:p>
            <w:pPr>
              <w:spacing w:line="240"/>
              <w:jc w:val="center"/>
            </w:pPr>
            <w:r>
              <w:rPr>
                <w:rFonts w:ascii="Times New Roman" w:cs="Times New Roman" w:eastAsia="Times New Roman" w:hAnsi="Times New Roman"/>
                <w:sz w:val="16"/>
                <w:szCs w:val="16"/>
              </w:rPr>
              <w:t xml:space="preserve">1.19 (1.03, 1.37)</w:t>
            </w:r>
          </w:p>
        </w:tc>
      </w:tr>
    </w:tbl>
    <w:p>
      <w:pPr>
        <w:spacing w:after="0" w:before="60" w:line="240"/>
      </w:pPr>
      <w:r>
        <w:rPr>
          <w:rFonts w:ascii="Times New Roman" w:cs="Times New Roman" w:eastAsia="Times New Roman" w:hAnsi="Times New Roman"/>
          <w:sz w:val="16"/>
          <w:szCs w:val="16"/>
        </w:rPr>
        <w:t xml:space="preserve">Relative risks (95% CI). Prespecified sensitivity analysis. Primary: adjusted for 11 covariates and study site, with inverse probability of censoring weights. Secondary: as primary without study site.</w:t>
      </w:r>
    </w:p>
    <w:p>
      <w:r>
        <w:br w:type="page"/>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2026-10-16T23:07:18.043Z</dcterms:created>
  <dcterms:modified xsi:type="dcterms:W3CDTF">2026-10-16T23:07:18.043Z</dcterms:modified>
</cp:coreProperties>
</file>

<file path=docProps/custom.xml><?xml version="1.0" encoding="utf-8"?>
<Properties xmlns="http://schemas.openxmlformats.org/officeDocument/2006/custom-properties" xmlns:vt="http://schemas.openxmlformats.org/officeDocument/2006/docPropsVTypes"/>
</file>