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diagnoses with expected birth outcomes in the Boston centre and the other 11 centres, as a check of construct validity.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Outcome, by exposure</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Centre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Exposed, % (n/N)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Unexposed, % (n/N)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 RR (95% CI)</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Small for gestational age,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(323/3,148)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5.3% (390/7,416)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1.95 (1.69, 2.25)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(1,231/9,937)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8.1% (1,997/24,703)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1.53 (1.43, 1.64)</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18.0% (565/3,144)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6.0% (443/7,398)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3.00 (2.67, 3.37)</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20.6% (2,036/9,903)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(3,529/24,599)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(1.36, 1.51)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Preeclampsia,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(94/3,153)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 (171/7,417)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1.29 (1.01, 1.66)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 (377/9,966)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 (694/24,732)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1.35 (1.19, 1.52)</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(286/2,916)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 (722/7,626)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(0.91, 1.18)</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21.0% (1,517/7,218)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14.8% (4,048/27,284)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1.42 (1.34, 1.49)</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Spontaneous labour,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88.0% (2,555/2,905)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79.0% (5,997/7,587)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(1.09, 1.13)</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93.9% (6,711/7,146)</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92.1% (25,063/27,206)</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1.02 (1.01, 1.03)</w:t>
            </w:r>
          </w:p>
        </w:tc>
      </w:tr>
    </w:tbl>
    <w:p>
      <w:pPr>
        <w:spacing w:after="0" w:before="60" w:line="240"/>
      </w:pPr>
      <w:r>
        <w:rPr>
          <w:rFonts w:ascii="Times New Roman" w:cs="Times New Roman" w:eastAsia="Times New Roman" w:hAnsi="Times New Roman"/>
          <w:sz w:val="16"/>
          <w:szCs w:val="16"/>
        </w:rPr>
        <w:t xml:space="preserve">All 45,268 pregnancies with non-missing values. Pre-eclampsia includes superimposed pre-eclampsia. MVM, maternal vascular malperfusion. AI, acute inflammation. RR, relative risk.</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S11. </w:t>
      </w:r>
      <w:r>
        <w:rPr>
          <w:rFonts w:ascii="Times New Roman" w:cs="Times New Roman" w:eastAsia="Times New Roman" w:hAnsi="Times New Roman"/>
          <w:sz w:val="20"/>
          <w:szCs w:val="20"/>
        </w:rPr>
        <w:t xml:space="preserve">Associations of placental pathology with definite infantile haemangioma, adjusted for the examining pathologist instead of study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(study site)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Examining pathologist</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 (no site)</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(0.99, 1.40)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(0.98, 1.17)</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Examining pathologist was defined by site-specific examiner codes on the gross examination form, with examiners who read fewer than 100 placentas grouped within site.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S12.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p>
      <w:pPr>
        <w:keepNext/>
        <w:spacing w:after="120" w:before="0" w:line="276"/>
      </w:pPr>
      <w:r>
        <w:rPr>
          <w:rFonts w:ascii="Times New Roman" w:cs="Times New Roman" w:eastAsia="Times New Roman" w:hAnsi="Times New Roman"/>
          <w:b/>
          <w:bCs/>
          <w:sz w:val="20"/>
          <w:szCs w:val="20"/>
        </w:rPr>
        <w:t xml:space="preserve">Table S13. </w:t>
      </w:r>
      <w:r>
        <w:rPr>
          <w:rFonts w:ascii="Times New Roman" w:cs="Times New Roman" w:eastAsia="Times New Roman" w:hAnsi="Times New Roman"/>
          <w:sz w:val="20"/>
          <w:szCs w:val="20"/>
        </w:rPr>
        <w:t xml:space="preserve">Feasibility and results of a within-mother (sibling)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Step</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Mothers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cases</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infants with observed IH</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34,212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40,700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700</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Mothers with 2 or more infants in the sample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5,412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181</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IH-discordant mothers (at least one case and one non-case)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174</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MVM (informative for MVM)</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w:t>
            </w:r>
          </w:p>
        </w:tc>
      </w:tr>
      <w:tr>
        <w:trPr>
          <w:cantSplit/>
        </w:trPr>
        <w:tc>
          <w:tcPr>
            <w:tcW w:type="dxa" w:w="4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AI (informative for AI)</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73</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74</w:t>
            </w:r>
          </w:p>
        </w:tc>
      </w:tr>
    </w:tbl>
    <w:p>
      <w:pPr>
        <w:spacing w:after="0" w:before="0" w:line="240"/>
      </w:pPr>
      <w:r>
        <w:rPr>
          <w:rFonts w:ascii="Times New Roman" w:cs="Times New Roman" w:eastAsia="Times New Roman" w:hAnsi="Times New Roman"/>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5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Model</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OR (95% CI)</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0.85 (0.54, 1.33)</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0.67 (0.38, 1.17)</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(0.87, 1.64)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(0.74, 1.44)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(0.73, 1.86)</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1.46 (0.83, 2.55)</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1.38 (0.99, 1.91)</w:t>
            </w:r>
          </w:p>
        </w:tc>
      </w:tr>
      <w:tr>
        <w:trPr>
          <w:cantSplit/>
        </w:trPr>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(0.87, 1.69)</w:t>
            </w:r>
          </w:p>
        </w:tc>
      </w:tr>
    </w:tbl>
    <w:p>
      <w:pPr>
        <w:spacing w:after="0" w:before="60" w:line="240"/>
      </w:pPr>
      <w:r>
        <w:rPr>
          <w:rFonts w:ascii="Times New Roman" w:cs="Times New Roman" w:eastAsia="Times New Roman" w:hAnsi="Times New Roman"/>
          <w:sz w:val="16"/>
          <w:szCs w:val="16"/>
        </w:rPr>
        <w:t xml:space="preserve">Among 11,900 pregnancies (181 IH cases) of 5,412 mothers with two or more infants in the sample. Only mothers discordant for both IH and the exposure contribute to within-mother estimates. Models adjusted for 11 covariates (and study site for between-mother models), pooled across 20 imputed datasets. OR, odds ratio. IH, infantile haemangioma.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2026-10-03T01:24:00.365Z</dcterms:created>
  <dcterms:modified xsi:type="dcterms:W3CDTF">2026-10-03T01:24:00.365Z</dcterms:modified>
</cp:coreProperties>
</file>

<file path=docProps/custom.xml><?xml version="1.0" encoding="utf-8"?>
<Properties xmlns="http://schemas.openxmlformats.org/officeDocument/2006/custom-properties" xmlns:vt="http://schemas.openxmlformats.org/officeDocument/2006/docPropsVTypes"/>
</file>