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3,534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and pre-pregnancy diabetes (2.1% vs 1.3%). Pregnancies with AI more often involved White women (52.3% vs 47.0%) and heavy smoking (20.5% vs 16.6%).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AI RR 1.15) and when suspect IH was included in the outcome (MVM RR 1.13, AI RR 1.10) (Supplementary Tables S9 and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2026-10-03T01:43:57.766Z</dcterms:created>
  <dcterms:modified xsi:type="dcterms:W3CDTF">2026-10-03T01:43:57.767Z</dcterms:modified>
</cp:coreProperties>
</file>

<file path=docProps/custom.xml><?xml version="1.0" encoding="utf-8"?>
<Properties xmlns="http://schemas.openxmlformats.org/officeDocument/2006/custom-properties" xmlns:vt="http://schemas.openxmlformats.org/officeDocument/2006/docPropsVTypes"/>
</file>