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3,727 (main text), 249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S13).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MVM (aRR 1.14, 95% CI 0.96, 1.35) and AI (aRR 1.14, 95% CI 0.96, 1.35) were each imprecisely associated with modestly higher IH risk, with weaker estimates for the MVM score (aRR 1.05, 95% CI 0.97, 1.15) and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Placental MVM and AI showed modest, imprecise associations with IH, strongest when both co-occurred.</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MVM and AI alone showed modest, imprecise associations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for placentas with at least one MVM lesion that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 A joint exposure classified placentas as having neither pattern (reference), MVM only, AI only, or both MVM and AI.</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Three models were fitted for each exposure: crude, primary (11 covariates, study site, and weights), and secondary (11 covariates and weights, without study site). The main exposures were any MVM and any AI, with the MVM and AI scores also reported, and the joint exposure was included in the main results. Mutually adjusted models included MVM and AI together.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 The strength of association of study site with MVM, AI, and IH was summarised with Cramér's V.</w:t>
      </w:r>
    </w:p>
    <w:p>
      <w:pPr>
        <w:spacing w:after="0" w:before="0" w:line="480"/>
        <w:ind w:firstLine="480"/>
      </w:pPr>
      <w:r>
        <w:rPr>
          <w:rFonts w:ascii="Times New Roman" w:cs="Times New Roman" w:eastAsia="Times New Roman" w:hAnsi="Times New Roman"/>
          <w:sz w:val="24"/>
          <w:szCs w:val="24"/>
        </w:rPr>
        <w:t xml:space="preserve">Secondary analyses examined (1) MVM grade and AI stage, (2) AI location, (3) sequential addition of covariate groups and study site, (4) study site as a random intercept instead of a fixed effect, and (5) adjustment for the examining pathologist (site-specific examiner codes with at least 100 placentas) instead of study site. Sensitivity analyses examined (6) stratification by the Boston centre, where 92.6% of placentas were examined by one pathologist [22], versus the other 11 centres, (7) comparison of expected associations of MVM and AI with small for gestational age (SGA), preterm birth, pre-eclampsia, and spontaneous labour in Boston and the other centres, as a check of the construct validity of the placental diagnoses, (8) the broader outcome that included suspect IH, and (9) a within-mother comparison of siblings using conditional logistic regression. SGA was defined as birthweight below the 10th percentile for gestational age and sex based on an internal CPP reference.</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lme4, and survival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ended in preterm birth (19.9% vs 12.4%) and SGA (11.9% vs 7.4%), with lower mean birthweight (2,988 g vs 3,206 g). Pregnancies with AI more often involved White women (52.3% vs 47.0%) and heavy smoking (20.5% vs 16.6%), and more often ended in preterm birth (17.8% vs 13.7%).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estimates for any MVM (RR 1.14, 95% CI 0.96, 1.35) and any AI (RR 1.14, 95% CI 0.96, 1.35) were modestly above the null but imprecise, as were those for the MVM score (per point, RR 1.05, 95% CI 0.97, 1.15) and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MVM was associated with preterm birth and SGA at both Boston and the other centres, more strongly in Boston. AI was associated with preterm birth at the other centres (RR 1.42, 95% CI 1.34, 1.49) but not in Boston (RR 1.04, 95% CI 0.91, 1.18) (Supplementary Table S9).</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when the examining pathologist replaced study site (MVM RR 1.18, AI RR 1.16), and when suspect IH was included in the outcome (MVM RR 1.13, AI RR 1.10) (Supplementary Tables S10 to S12). Only 78 mothers were discordant for both IH and MVM across pregnancies (73 for AI), and within-mother estimates were too imprecise to be informative (Supplementary Table S13).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placental MVM and AI were each associated with modestly higher IH risk after accounting for study site, but estimates were imprecise and compatible with both no association and a moderate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 or replaced by the examining pathologist.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AI was also unrelated to preterm birth in Boston but related to it elsewhere, whereas MVM showed the expected associations with preterm birth and SGA at all centres.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any contribution of placental vascular injury to IH is likely to be modest.</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A modest RR for MVM is therefore compatible with the hypothesis but does not confirm it.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and pathologist,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for the modest associations observed.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placental MVM and AI were each associated with modest, imprecisely estimated increases in IH risk after accounting for study site, with the highest risk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2026-10-02T17:29:03.053Z</dcterms:created>
  <dcterms:modified xsi:type="dcterms:W3CDTF">2026-10-02T17:29:03.059Z</dcterms:modified>
</cp:coreProperties>
</file>

<file path=docProps/custom.xml><?xml version="1.0" encoding="utf-8"?>
<Properties xmlns="http://schemas.openxmlformats.org/officeDocument/2006/custom-properties" xmlns:vt="http://schemas.openxmlformats.org/officeDocument/2006/docPropsVTypes"/>
</file>