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3,588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the strength of association of study site with MVM, AI, and IH (Cramér's V), (4) sequential addition of covariate groups and study site, (5) study site as a random intercept instead of a fixed effect, (6) stratification by the Boston centre, where 92.6% of placentas were examined by one pathologist [22], versus the other 11 centres, and (7) the broader outcome that included suspect IH.</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and lme4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AI more often involved White women (52.3% vs 47.0%) and heavy smoking (20.5% vs 16.6%).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2026-10-03T01:37:16.944Z</dcterms:created>
  <dcterms:modified xsi:type="dcterms:W3CDTF">2026-10-03T01:37:16.944Z</dcterms:modified>
</cp:coreProperties>
</file>

<file path=docProps/custom.xml><?xml version="1.0" encoding="utf-8"?>
<Properties xmlns="http://schemas.openxmlformats.org/officeDocument/2006/custom-properties" xmlns:vt="http://schemas.openxmlformats.org/officeDocument/2006/docPropsVTypes"/>
</file>