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center"/>
      </w:pPr>
      <w:r>
        <w:rPr>
          <w:rFonts w:ascii="Times New Roman" w:cs="Times New Roman" w:eastAsia="Times New Roman" w:hAnsi="Times New Roman"/>
          <w:b/>
          <w:bCs/>
          <w:sz w:val="28"/>
          <w:szCs w:val="28"/>
        </w:rPr>
        <w:t xml:space="preserve">Supplementary Material</w:t>
      </w:r>
    </w:p>
    <w:p>
      <w:pPr>
        <w:spacing w:after="240" w:before="0" w:line="480"/>
        <w:jc w:val="center"/>
      </w:pPr>
      <w:r>
        <w:rPr>
          <w:rFonts w:ascii="Times New Roman" w:cs="Times New Roman" w:eastAsia="Times New Roman" w:hAnsi="Times New Roman"/>
          <w:i/>
          <w:iCs/>
          <w:sz w:val="24"/>
          <w:szCs w:val="24"/>
        </w:rPr>
        <w:t xml:space="preserve">Placental Pathology and Infantile Haemangioma in the Collaborative Perinatal Project</w:t>
      </w:r>
    </w:p>
    <w:p>
      <w:r>
        <w:br w:type="page"/>
      </w:r>
    </w:p>
    <w:p>
      <w:pPr>
        <w:keepNext/>
        <w:spacing w:after="120" w:before="0" w:line="276"/>
      </w:pPr>
      <w:r>
        <w:rPr>
          <w:rFonts w:ascii="Times New Roman" w:cs="Times New Roman" w:eastAsia="Times New Roman" w:hAnsi="Times New Roman"/>
          <w:b/>
          <w:bCs/>
          <w:sz w:val="20"/>
          <w:szCs w:val="20"/>
        </w:rPr>
        <w:t xml:space="preserve">Table S1. </w:t>
      </w:r>
      <w:r>
        <w:rPr>
          <w:rFonts w:ascii="Times New Roman" w:cs="Times New Roman" w:eastAsia="Times New Roman" w:hAnsi="Times New Roman"/>
          <w:sz w:val="20"/>
          <w:szCs w:val="20"/>
        </w:rPr>
        <w:t xml:space="preserve">Placental pathology and maternal and infant characteristics among 40,700 infants with an observed outcome, by definite infantile haemangioma (IH)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Characteristic</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Overall</w:t>
            </w:r>
          </w:p>
          <w:p>
            <w:pPr>
              <w:spacing w:line="240"/>
              <w:jc w:val="center"/>
            </w:pPr>
            <w:r>
              <w:rPr>
                <w:rFonts w:ascii="Times New Roman" w:cs="Times New Roman" w:eastAsia="Times New Roman" w:hAnsi="Times New Roman"/>
                <w:b/>
                <w:bCs/>
                <w:sz w:val="16"/>
                <w:szCs w:val="16"/>
              </w:rPr>
              <w:t xml:space="preserve">n = 40,700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IH</w:t>
            </w:r>
          </w:p>
          <w:p>
            <w:pPr>
              <w:spacing w:line="240"/>
              <w:jc w:val="center"/>
            </w:pPr>
            <w:r>
              <w:rPr>
                <w:rFonts w:ascii="Times New Roman" w:cs="Times New Roman" w:eastAsia="Times New Roman" w:hAnsi="Times New Roman"/>
                <w:b/>
                <w:bCs/>
                <w:sz w:val="16"/>
                <w:szCs w:val="16"/>
              </w:rPr>
              <w:t xml:space="preserve">n = 40,000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Definite IH</w:t>
            </w:r>
          </w:p>
          <w:p>
            <w:pPr>
              <w:spacing w:line="240"/>
              <w:jc w:val="center"/>
            </w:pPr>
            <w:r>
              <w:rPr>
                <w:rFonts w:ascii="Times New Roman" w:cs="Times New Roman" w:eastAsia="Times New Roman" w:hAnsi="Times New Roman"/>
                <w:b/>
                <w:bCs/>
                <w:sz w:val="16"/>
                <w:szCs w:val="16"/>
              </w:rPr>
              <w:t xml:space="preserve">n = 700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Placental pathology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27.8% (11,324)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27.7% (11,099)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32.1% (225)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 (score 1 to 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23.5% (9,556)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23.4% (9,364)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27.4% (192)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(score 3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 (1,768)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 (1,735)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 (33)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MVM score,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0.5 (0.9)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21.8% (8,880)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21.7% (8,699)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25.9% (181)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(4,376)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(4,270)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15.1% (106)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(4,504)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(4,429)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57.5% (23,391)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57.6% (23,027)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52.0% (364)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20.7% (8,429)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20.7% (8,274)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22.1% (155)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14.7% (5,985)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14.7% (5,874)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15.9% (111)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Both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7.1% (2,895)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7.1% (2,825)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(70)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and infant characteristics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Maternal age, years,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Pre-pregnancy BMI, kg/m&lt;c2&gt;&lt;b2&gt;,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21.9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Race and ethnicity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White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48.3% (19,643)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47.8% (19,104)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77.0% (539)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Black</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44.1% (17,943)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44.6% (17,825)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16.9% (118)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Puerto Rican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 (2,711)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 (2,676)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Other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(403)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(395)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Education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Less than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 (6,851)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(6,773)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(15,791)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(15,612)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25.9% (179)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school graduate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30.9% (12,468)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30.8% (12,197)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 (271)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college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(5,194)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(5,032)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23.5% (162)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Family income, per year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$1,999 or less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0.2% (1)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$2,000 to $3,999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13.6% (5,209)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(5,152)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 (57)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$4,000 to $5,999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42.5% (16,298)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42.7% (16,101)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(197)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$6,000 to $7,999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24.8% (9,521)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(9,322)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29.9% (199)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$8,000 to $9,999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(4,454)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(4,359)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14.3% (95)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$10,000 to $14,999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(1,629)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(1,567)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9.3% (62)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$15,000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 (1,142)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(1,088)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Marital status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Married or common law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78.5% (31,960)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78.4% (31,357)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86.1% (603)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Single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13.5% (5,475)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13.6% (5,421)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Widowed, divorced, or separated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(3,265)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(3,222)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6.1% (43)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Smoking during pregnancy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Non-smoker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52.5% (21,236)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52.5% (20,875)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51.8% (361)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 to 19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30.4% (12,315)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(12,137)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25.5% (178)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 or more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(6,910)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 (6,752)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Parity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30.1% (12,149)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30.0% (11,885)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37.9% (264)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(9,269)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(9,111)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16.2% (6,540)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16.2% (6,428)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16.1% (112)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(4,559)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(4,495)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 (64)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19.4% (7,841)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19.5% (7,743)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(98)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Pre-pregnancy diabetes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98.5% (40,095)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98.5% (39,414)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97.3% (681)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 (600)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 (581)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 (19)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Chronic hypertension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(38,323)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(37,660)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94.7% (663)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(2,371)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(2,334)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 (37)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Infant sex</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Female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49.3% (20,077)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49.1% (19,649)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61.1% (428)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50.7% (20,623)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50.9% (20,351)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38.9% (272)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Perinatal characteristics (not adjusted for)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Gestational age at delivery, weeks,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39.5 (3.0)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Preterm birth (&lt;37 weeks)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87.3% (35,353)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87.3% (34,738)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88.0% (615)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(5,148)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12.0% (84)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Birthweight, g,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3191 (531)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3191 (530)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3175 (576)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Small for gestational age infant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92.0% (37,428)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92.0% (36,789)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91.3% (639)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(3,255)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 (61)</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bl>
    <w:p>
      <w:pPr>
        <w:spacing w:after="0" w:before="60" w:line="240"/>
      </w:pPr>
      <w:r>
        <w:rPr>
          <w:rFonts w:ascii="Times New Roman" w:cs="Times New Roman" w:eastAsia="Times New Roman" w:hAnsi="Times New Roman"/>
          <w:sz w:val="16"/>
          <w:szCs w:val="16"/>
        </w:rPr>
        <w:t xml:space="preserve">Values are % (n) unless stated otherwise. MVM, maternal vascular malperfusion. AI, acute inflammation. BMI, body mass index. SD, standard deviation.</w:t>
      </w:r>
    </w:p>
    <w:p>
      <w:r>
        <w:br w:type="page"/>
      </w:r>
    </w:p>
    <w:p>
      <w:pPr>
        <w:keepNext/>
        <w:spacing w:after="120" w:before="0" w:line="276"/>
      </w:pPr>
      <w:r>
        <w:rPr>
          <w:rFonts w:ascii="Times New Roman" w:cs="Times New Roman" w:eastAsia="Times New Roman" w:hAnsi="Times New Roman"/>
          <w:b/>
          <w:bCs/>
          <w:sz w:val="20"/>
          <w:szCs w:val="20"/>
        </w:rPr>
        <w:t xml:space="preserve">Table S2. </w:t>
      </w:r>
      <w:r>
        <w:rPr>
          <w:rFonts w:ascii="Times New Roman" w:cs="Times New Roman" w:eastAsia="Times New Roman" w:hAnsi="Times New Roman"/>
          <w:sz w:val="20"/>
          <w:szCs w:val="20"/>
        </w:rPr>
        <w:t xml:space="preserve">Placental diagnoses, follow-up, and definite infantile haemangioma (IH) by Collaborative Perinatal Project study site (45,268 pregnancies).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250"/>
        <w:gridCol w:w="1250"/>
        <w:gridCol w:w="1300"/>
        <w:gridCol w:w="1300"/>
        <w:gridCol w:w="126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Site</w:t>
            </w:r>
          </w:p>
        </w:tc>
        <w:tc>
          <w:tcPr>
            <w:tcW w:type="dxa" w:w="1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Pregnancies</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Observed at one year</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Definite IH, % (cases/N)</w:t>
            </w:r>
          </w:p>
        </w:tc>
        <w:tc>
          <w:tcPr>
            <w:tcW w:type="dxa" w:w="12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RR (95% CI)ᵃ</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 Boston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10,570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29.8% (3,153)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27.6% (2,922)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91.4% (9,660)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3.0% (290/9,660)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10 Buffalo</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2,275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28.5% (648)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20.5% (467)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95.9% (2,182)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3.6% (79/2,182)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0.90 (0.69, 1.16)</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15 New Orleans</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2,495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33.1% (825)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19.8% (495)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93.5% (2,332)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 (23/2,332)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1.17 (0.68, 2.01)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31 New York (Columbia)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1,881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33.6% (632)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19.4% (364)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93.7% (1,762)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 (34/1,762)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(0.70, 1.54)</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37 Baltimore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2,913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25.7% (748)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15.0% (438)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91.6% (2,667)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0.6% (16/2,667)</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0.49 (0.28, 0.85)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45 Virginia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2,585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80.3% (2,075)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38.1% (985)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89.7% (2,319)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2.1% (48/2,319)</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1.67 (1.14, 2.43)</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50 Minnesota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2,782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16.6% (461)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23.0% (640)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93.1% (2,590)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3.0% (77/2,590)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1.00 (0.77, 1.30)</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55 New York Medical College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3,869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23.0% (889)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17.7% (683)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84.3% (3,262)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 (31/3,262)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0.62 (0.36, 1.07)</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60 Oregon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2,894</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20.4% (589)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19.9% (576)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90.9% (2,630)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 (29/2,630)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0.52 (0.35, 0.78)</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66 Pennsylvania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8,206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9.8% (803)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17.8% (1,461)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87.0% (7,140)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 (31/7,140)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0.45 (0.29, 0.71)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71 Providence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3,722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42.7% (1,588)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26.9% (1,001)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84.4% (3,143)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 (38/3,143)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0.49 (0.35, 0.69)</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82 Tennessee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65.8% (708)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14.5% (156)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94.1% (1,013)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 (4/1,013)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0.44 (0.16, 1.23)</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All sites</w:t>
            </w:r>
          </w:p>
        </w:tc>
        <w:tc>
          <w:tcPr>
            <w:tcW w:type="dxa" w:w="1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45,268</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29.0% (13,119)</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22.5% (10,188)</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89.9% (40,700)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 (700/40,700)</w:t>
            </w:r>
          </w:p>
        </w:tc>
        <w:tc>
          <w:tcPr>
            <w:tcW w:type="dxa" w:w="12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
            </w:r>
          </w:p>
        </w:tc>
      </w:tr>
    </w:tbl>
    <w:p>
      <w:pPr>
        <w:spacing w:after="0" w:before="60" w:line="240"/>
      </w:pPr>
      <w:r>
        <w:rPr>
          <w:rFonts w:ascii="Times New Roman" w:cs="Times New Roman" w:eastAsia="Times New Roman" w:hAnsi="Times New Roman"/>
          <w:sz w:val="16"/>
          <w:szCs w:val="16"/>
        </w:rPr>
        <w:t xml:space="preserve">ᵃRelative risk of definite IH for each site compared with Boston, from the primary model for any MVM (adjusted for 11 covariates, with inverse probability of censoring weights). Site names other than Boston are from the study team's site mapping and should be confirmed against CPP documentation. Cramér's V for the association of study site with any MVM, any AI, and definite IH among 40,700 infants: 0.38, 0.15, and 0.09.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S3. </w:t>
      </w:r>
      <w:r>
        <w:rPr>
          <w:rFonts w:ascii="Times New Roman" w:cs="Times New Roman" w:eastAsia="Times New Roman" w:hAnsi="Times New Roman"/>
          <w:sz w:val="20"/>
          <w:szCs w:val="20"/>
        </w:rPr>
        <w:t xml:space="preserve">Sequential adjustment of associations of placental pathology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Model</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MVM score, per point</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AI score, per compartment</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Crude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(1.05, 1.43)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(1.06,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Demographic factorsᵃ</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(1.04, 1.23)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(1.00, 1.40)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Health factorsᵇ</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(1.06, 1.45)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(1.01, 1.41)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Parity and infant sex (all 11 covariates)</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1.26 (1.07,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(1.01,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Study site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1.06 (0.97, 1.15)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(0.96, 1.34)</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Secondary: 11 covariates + IPW</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(1.02,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Primary: 11 covariates + study site + IPW</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Covariate groups were added cumulatively without weights, followed by the secondary and primary models with inverse probability of censoring weights (IPW). ᵃMaternal age, race and ethnicity, education, income, marital status. ᵇPre-pregnancy body mass index, smoking, pre-pregnancy diabetes, chronic hypertension.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S4. </w:t>
      </w:r>
      <w:r>
        <w:rPr>
          <w:rFonts w:ascii="Times New Roman" w:cs="Times New Roman" w:eastAsia="Times New Roman" w:hAnsi="Times New Roman"/>
          <w:sz w:val="20"/>
          <w:szCs w:val="20"/>
        </w:rPr>
        <w:t xml:space="preserve">Mutually adjusted associations of maternal vascular malperfusion (MVM) and acute inflammation (AI)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80"/>
        <w:gridCol w:w="1480"/>
        <w:gridCol w:w="1480"/>
        <w:gridCol w:w="152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Mutually adjusted for</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c>
          <w:tcPr>
            <w:tcW w:type="dxa" w:w="152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 single exposure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any vs none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1.21 (1.03, 1.42)</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(1.06, 1.45)</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1 point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score</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(0.96, 1.15)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any vs none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1.23 (1.04, 1.46)</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(0.96, 1.34)</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(1.01, 1.41)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score, per 1 compartment</w:t>
            </w:r>
          </w:p>
        </w:tc>
        <w:tc>
          <w:tcPr>
            <w:tcW w:type="dxa" w:w="1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score</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c>
          <w:tcPr>
            <w:tcW w:type="dxa" w:w="152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S5. </w:t>
      </w:r>
      <w:r>
        <w:rPr>
          <w:rFonts w:ascii="Times New Roman" w:cs="Times New Roman" w:eastAsia="Times New Roman" w:hAnsi="Times New Roman"/>
          <w:sz w:val="20"/>
          <w:szCs w:val="20"/>
        </w:rPr>
        <w:t xml:space="preserve">Additive and multiplicative interaction between maternal vascular malperfusion (MVM) and acute inflammation (AI) for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Measure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MVM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(0.98, 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1.08 (0.89,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(0.98, 1.42)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AI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(0.96,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(0.86,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(0.90, 1.37)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both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1.55 (1.20, 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1.37 (1.05, 1.78)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1.57 (1.22, 2.02)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RERI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0.18 (−0.28, 0.65)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0.22 (−0.20, 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0.28 (−0.18, 0.74)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Attributable proportion, AP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0.12 (−0.16, 0.40)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0.16 (−0.12, 0.44)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0.18 (−0.09, 0.45)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Synergy index, S (additive, 1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1.51 (0.51, 4.46)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2.46 (0.27, 22.76)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1.97 (0.56, 6.94)</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Ratio of RRs (multiplicative, 1 = none)</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(0.78, 1.57)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(0.83, 1.68)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(0.85, 1.70)</w:t>
            </w:r>
          </w:p>
        </w:tc>
      </w:tr>
    </w:tbl>
    <w:p>
      <w:pPr>
        <w:spacing w:after="0" w:before="60" w:line="240"/>
      </w:pPr>
      <w:r>
        <w:rPr>
          <w:rFonts w:ascii="Times New Roman" w:cs="Times New Roman" w:eastAsia="Times New Roman" w:hAnsi="Times New Roman"/>
          <w:sz w:val="16"/>
          <w:szCs w:val="16"/>
        </w:rPr>
        <w:t xml:space="preserve">Estimates (95% CI) from the four-level joint exposure (reference: neither). CIs by the delta method using the pooled variance-covariance matrix. RERI, relative excess risk due to interaction. The synergy index is unstable when the single-exposure RRs are close to 1 and is shown for completeness.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S6. </w:t>
      </w:r>
      <w:r>
        <w:rPr>
          <w:rFonts w:ascii="Times New Roman" w:cs="Times New Roman" w:eastAsia="Times New Roman" w:hAnsi="Times New Roman"/>
          <w:sz w:val="20"/>
          <w:szCs w:val="20"/>
        </w:rPr>
        <w:t xml:space="preserve">Associations of maternal vascular malperfusion (MVM) grade and acute inflammation (AI) stage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(475/29,376)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(192/9,556)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1.24 (1.05, 1.46)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(0.96, 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(1.06, 1.47)</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 (33/1,768)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(0.81, 1.64)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1.09 (0.77,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1.28 (0.90, 1.81)</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 (106/4,376)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1.48 (1.20, 1.82)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1.26 (1.02,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1.32 (1.07, 1.63)</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 (75/4,504)</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1.02 (0.80, 1.30)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(0.78, 1.28)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(0.84, 1.36)</w:t>
            </w:r>
          </w:p>
        </w:tc>
      </w:tr>
    </w:tbl>
    <w:p>
      <w:pPr>
        <w:spacing w:after="0" w:before="60" w:line="240"/>
      </w:pPr>
      <w:r>
        <w:rPr>
          <w:rFonts w:ascii="Times New Roman" w:cs="Times New Roman" w:eastAsia="Times New Roman" w:hAnsi="Times New Roman"/>
          <w:sz w:val="16"/>
          <w:szCs w:val="16"/>
        </w:rPr>
        <w:t xml:space="preserve">Relative risks (95% CI). MVM grade: low, score 1 to 2. High, score 3 or more. AI stage as recorded in the CPP placental dataset.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S7. </w:t>
      </w:r>
      <w:r>
        <w:rPr>
          <w:rFonts w:ascii="Times New Roman" w:cs="Times New Roman" w:eastAsia="Times New Roman" w:hAnsi="Times New Roman"/>
          <w:sz w:val="20"/>
          <w:szCs w:val="20"/>
        </w:rPr>
        <w:t xml:space="preserve">Associations of maternal and foetal acute inflammatory responses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location</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No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Maternal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 (52/3,293)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0.97 (0.73, 1.28)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(0.81, 1.43)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(0.85, 1.50)</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Foetal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 (61/2,224)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1.67 (1.29, 2.18)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(0.86,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(0.93, 1.58)</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Maternal and foetal</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 (68/3,363)</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(0.96, 1.59)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(0.94, 1.55)</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(0.97, 1.61)</w:t>
            </w:r>
          </w:p>
        </w:tc>
      </w:tr>
    </w:tbl>
    <w:p>
      <w:pPr>
        <w:spacing w:after="0" w:before="60" w:line="240"/>
      </w:pPr>
      <w:r>
        <w:rPr>
          <w:rFonts w:ascii="Times New Roman" w:cs="Times New Roman" w:eastAsia="Times New Roman" w:hAnsi="Times New Roman"/>
          <w:sz w:val="16"/>
          <w:szCs w:val="16"/>
        </w:rPr>
        <w:t xml:space="preserve">Relative risks (95% CI). Maternal response: amnion or chorion of the membrane roll or placental surface. Foetal response: umbilical vein, umbilical artery, or foetal surface vessels. Among placentas with foetal-only inflammation (n = 2,224), the umbilical vein was involved in 87.8%, the umbilical artery in 8.7%, and foetal surface vessels in 13.9%.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S8. </w:t>
      </w:r>
      <w:r>
        <w:rPr>
          <w:rFonts w:ascii="Times New Roman" w:cs="Times New Roman" w:eastAsia="Times New Roman" w:hAnsi="Times New Roman"/>
          <w:sz w:val="20"/>
          <w:szCs w:val="20"/>
        </w:rPr>
        <w:t xml:space="preserve">Associations of placental pathology with definite infantile haemangioma, stratified by the Boston centre and the other 11 centres.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Stratum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MVM score, per point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AI score, per compartment</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Boston </w:t>
            </w:r>
          </w:p>
          <w:p>
            <w:pPr>
              <w:spacing w:line="240"/>
              <w:jc w:val="left"/>
            </w:pPr>
            <w:r>
              <w:rPr>
                <w:rFonts w:ascii="Times New Roman" w:cs="Times New Roman" w:eastAsia="Times New Roman" w:hAnsi="Times New Roman"/>
                <w:sz w:val="16"/>
                <w:szCs w:val="16"/>
              </w:rPr>
              <w:t xml:space="preserve">(290 cases / 9,660)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(0.87, 1.42)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1.01 (0.88, 1.16)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1.28 (1.00, 1.63)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(0.99, 1.15)</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Other 11 centres </w:t>
            </w:r>
          </w:p>
          <w:p>
            <w:pPr>
              <w:spacing w:line="240"/>
              <w:jc w:val="left"/>
            </w:pPr>
            <w:r>
              <w:rPr>
                <w:rFonts w:ascii="Times New Roman" w:cs="Times New Roman" w:eastAsia="Times New Roman" w:hAnsi="Times New Roman"/>
                <w:sz w:val="16"/>
                <w:szCs w:val="16"/>
              </w:rPr>
              <w:t xml:space="preserve">(410 cases / 31,040)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(0.90, 1.44)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(0.96, 1.20)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(0.82, 1.31)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1.00 (0.93, 1.07)</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All centres (primary) </w:t>
            </w:r>
          </w:p>
          <w:p>
            <w:pPr>
              <w:spacing w:line="240"/>
              <w:jc w:val="left"/>
            </w:pPr>
            <w:r>
              <w:rPr>
                <w:rFonts w:ascii="Times New Roman" w:cs="Times New Roman" w:eastAsia="Times New Roman" w:hAnsi="Times New Roman"/>
                <w:sz w:val="16"/>
                <w:szCs w:val="16"/>
              </w:rPr>
              <w:t xml:space="preserve">(700 cases / 40,700)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adjusted for 11 covariates with inverse probability of censoring weights, and for study site in the other 11 centres and all centres. In Boston, 92.6% of placentas were examined by one pathologist.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S9. </w:t>
      </w:r>
      <w:r>
        <w:rPr>
          <w:rFonts w:ascii="Times New Roman" w:cs="Times New Roman" w:eastAsia="Times New Roman" w:hAnsi="Times New Roman"/>
          <w:sz w:val="20"/>
          <w:szCs w:val="20"/>
        </w:rPr>
        <w:t xml:space="preserve">Associations of placental pathology with definite infantile haemangioma, with study site as a fixed or random effect.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as fixed effect (primary)</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as random effect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site (secondary)</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(1.05, 1.43)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1.16 (0.98, 1.37)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point</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(0.97, 1.17)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(1.06, 1.47)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1.15 (0.97, 1.36)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(1.02, 1.42)</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score, per compartment</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bl>
    <w:p>
      <w:pPr>
        <w:spacing w:after="0" w:before="60" w:line="240"/>
      </w:pPr>
      <w:r>
        <w:rPr>
          <w:rFonts w:ascii="Times New Roman" w:cs="Times New Roman" w:eastAsia="Times New Roman" w:hAnsi="Times New Roman"/>
          <w:sz w:val="16"/>
          <w:szCs w:val="16"/>
        </w:rPr>
        <w:t xml:space="preserve">Relative risks (95% CI). Random-effect models were Poisson models with a random intercept for study site, adjusted for 11 covariates with inverse probability of censoring weights. Median rate ratio for study site: 1.43 to 1.45.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S10. </w:t>
      </w:r>
      <w:r>
        <w:rPr>
          <w:rFonts w:ascii="Times New Roman" w:cs="Times New Roman" w:eastAsia="Times New Roman" w:hAnsi="Times New Roman"/>
          <w:sz w:val="20"/>
          <w:szCs w:val="20"/>
        </w:rPr>
        <w:t xml:space="preserve">Associations of placental pathology with infantile haemangioma when suspect cases are classified as IH (930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(1.09, 1.43)</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(0.98, 1.30)</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1.26 (1.10, 1.45)</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1.16)</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(0.96, 1.12)</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(1.04, 1.19)</w:t>
            </w:r>
          </w:p>
        </w:tc>
      </w:tr>
      <w:tr>
        <w:trPr>
          <w:cantSplit/>
        </w:trPr>
        <w:tc>
          <w:tcPr>
            <w:tcW w:type="dxa" w:w="3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(1.08, 1.45)</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1.10 (0.95, 1.27)</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(1.03, 1.37)</w:t>
            </w:r>
          </w:p>
        </w:tc>
      </w:tr>
    </w:tbl>
    <w:p>
      <w:pPr>
        <w:spacing w:after="0" w:before="60" w:line="240"/>
      </w:pPr>
      <w:r>
        <w:rPr>
          <w:rFonts w:ascii="Times New Roman" w:cs="Times New Roman" w:eastAsia="Times New Roman" w:hAnsi="Times New Roman"/>
          <w:sz w:val="16"/>
          <w:szCs w:val="16"/>
        </w:rPr>
        <w:t xml:space="preserve">Relative risks (95% CI). Prespecified sensitivity analysis. Primary: adjusted for 11 covariates and study site, with inverse probability of censoring weights. Secondary: as primary without study site.</w:t>
      </w:r>
    </w:p>
    <w:p>
      <w:r>
        <w:br w:type="page"/>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2026-10-03T01:37:17.337Z</dcterms:created>
  <dcterms:modified xsi:type="dcterms:W3CDTF">2026-10-03T01:37:17.337Z</dcterms:modified>
</cp:coreProperties>
</file>

<file path=docProps/custom.xml><?xml version="1.0" encoding="utf-8"?>
<Properties xmlns="http://schemas.openxmlformats.org/officeDocument/2006/custom-properties" xmlns:vt="http://schemas.openxmlformats.org/officeDocument/2006/docPropsVTypes"/>
</file>