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Times New Roman" w:cs="Times New Roman" w:eastAsia="Times New Roman" w:hAnsi="Times New Roman"/>
          <w:b/>
          <w:bCs/>
          <w:sz w:val="28"/>
          <w:szCs w:val="28"/>
        </w:rPr>
        <w:t xml:space="preserve">Placental Pathology and Infantile Haemangioma in the Collaborative Perinatal Project</w:t>
      </w:r>
    </w:p>
    <w:p>
      <w:pPr>
        <w:spacing w:after="240" w:before="0" w:line="480"/>
        <w:jc w:val="center"/>
      </w:pPr>
      <w:r>
        <w:rPr>
          <w:rFonts w:ascii="Times New Roman" w:cs="Times New Roman" w:eastAsia="Times New Roman" w:hAnsi="Times New Roman"/>
          <w:sz w:val="24"/>
          <w:szCs w:val="24"/>
        </w:rPr>
        <w:t xml:space="preserve">Jessica J. Wong, MS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Sunni L. Mumford,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Alexa A. Freedman, PhD</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Linda M. Ernst, MD, MHS</w:t>
      </w:r>
      <w:r>
        <w:rPr>
          <w:rFonts w:ascii="Times New Roman" w:cs="Times New Roman" w:eastAsia="Times New Roman" w:hAnsi="Times New Roman"/>
          <w:sz w:val="24"/>
          <w:szCs w:val="24"/>
          <w:vertAlign w:val="superscript"/>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Yajnaseni Chakraborti, PhD</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David J. Margolis, MD, PhD</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Ellen C. Caniglia, ScD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Enrique F. Schisterman,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Stefanie N. Hinkle,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Ellen C. Francis, PhD</w:t>
      </w:r>
      <w:r>
        <w:rPr>
          <w:rFonts w:ascii="Times New Roman" w:cs="Times New Roman" w:eastAsia="Times New Roman" w:hAnsi="Times New Roman"/>
          <w:sz w:val="24"/>
          <w:szCs w:val="24"/>
          <w:vertAlign w:val="superscript"/>
        </w:rPr>
        <w:t xml:space="preserve">7*</w:t>
      </w:r>
    </w:p>
    <w:p>
      <w:pPr>
        <w:spacing w:after="0" w:before="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Biostatistics, Epidemiology, and Informatics,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Obstetrics and Gynecology,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Preventive Medicine, Northwestern University Feinberg School of Medicine, Chicago, IL, USA</w:t>
      </w:r>
    </w:p>
    <w:p>
      <w:pPr>
        <w:spacing w:after="0" w:before="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Endeavor Health, Evanston, IL, USA</w:t>
      </w:r>
    </w:p>
    <w:p>
      <w:pPr>
        <w:spacing w:after="0" w:before="0" w:line="276"/>
      </w:pPr>
      <w:r>
        <w:rPr>
          <w:rFonts w:ascii="Times New Roman" w:cs="Times New Roman" w:eastAsia="Times New Roman" w:hAnsi="Times New Roman"/>
          <w:sz w:val="20"/>
          <w:szCs w:val="20"/>
          <w:vertAlign w:val="superscript"/>
        </w:rPr>
        <w:t xml:space="preserve">5</w:t>
      </w:r>
      <w:r>
        <w:rPr>
          <w:rFonts w:ascii="Times New Roman" w:cs="Times New Roman" w:eastAsia="Times New Roman" w:hAnsi="Times New Roman"/>
          <w:sz w:val="20"/>
          <w:szCs w:val="20"/>
        </w:rPr>
        <w:t xml:space="preserve">Department of Pathology and Laboratory Medicine, Endeavor Health and Department of Pathology, University of Chicago Pritzker School of Medicine, Chicago, IL, USA</w:t>
      </w:r>
    </w:p>
    <w:p>
      <w:pPr>
        <w:spacing w:after="0" w:before="0" w:line="276"/>
      </w:pPr>
      <w:r>
        <w:rPr>
          <w:rFonts w:ascii="Times New Roman" w:cs="Times New Roman" w:eastAsia="Times New Roman" w:hAnsi="Times New Roman"/>
          <w:sz w:val="20"/>
          <w:szCs w:val="20"/>
          <w:vertAlign w:val="superscript"/>
        </w:rPr>
        <w:t xml:space="preserve">6</w:t>
      </w:r>
      <w:r>
        <w:rPr>
          <w:rFonts w:ascii="Times New Roman" w:cs="Times New Roman" w:eastAsia="Times New Roman" w:hAnsi="Times New Roman"/>
          <w:sz w:val="20"/>
          <w:szCs w:val="20"/>
        </w:rPr>
        <w:t xml:space="preserve">Department of Dermatology,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Department of Biostatistics and Epidemiology, Rutgers School of Public Health, Rutgers University, Piscataway, NJ, USA</w:t>
      </w:r>
    </w:p>
    <w:p>
      <w:pPr>
        <w:spacing w:after="0" w:before="0" w:line="276"/>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Co-senior authors</w:t>
      </w:r>
    </w:p>
    <w:p>
      <w:pPr>
        <w:spacing w:after="0" w:before="240" w:line="480"/>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Stefanie N. Hinkle, PhD, Department of Biostatistics, Epidemiology, and Informatics, Perelman School of Medicine, University of Pennsylvania, 3600 Civic Center Blvd, 5W-101B, Philadelphia, PA 19104, USA. Email: stefanie.hinkle@pennmedicine.upenn.edu</w:t>
      </w:r>
    </w:p>
    <w:p>
      <w:pPr>
        <w:spacing w:after="0" w:before="0" w:line="480"/>
      </w:pPr>
      <w:r>
        <w:rPr>
          <w:rFonts w:ascii="Times New Roman" w:cs="Times New Roman" w:eastAsia="Times New Roman" w:hAnsi="Times New Roman"/>
          <w:b/>
          <w:bCs/>
          <w:sz w:val="24"/>
          <w:szCs w:val="24"/>
        </w:rPr>
        <w:t xml:space="preserve">Running head: </w:t>
      </w:r>
      <w:r>
        <w:rPr>
          <w:rFonts w:ascii="Times New Roman" w:cs="Times New Roman" w:eastAsia="Times New Roman" w:hAnsi="Times New Roman"/>
          <w:sz w:val="24"/>
          <w:szCs w:val="24"/>
        </w:rPr>
        <w:t xml:space="preserve">Placental Pathology and Infantile Haemangioma</w:t>
      </w:r>
    </w:p>
    <w:p>
      <w:pPr>
        <w:spacing w:after="0" w:before="0" w:line="480"/>
      </w:pPr>
      <w:r>
        <w:rPr>
          <w:rFonts w:ascii="Times New Roman" w:cs="Times New Roman" w:eastAsia="Times New Roman" w:hAnsi="Times New Roman"/>
          <w:b/>
          <w:bCs/>
          <w:sz w:val="24"/>
          <w:szCs w:val="24"/>
        </w:rPr>
        <w:t xml:space="preserve">Manuscript type: </w:t>
      </w:r>
      <w:r>
        <w:rPr>
          <w:rFonts w:ascii="Times New Roman" w:cs="Times New Roman" w:eastAsia="Times New Roman" w:hAnsi="Times New Roman"/>
          <w:sz w:val="24"/>
          <w:szCs w:val="24"/>
        </w:rPr>
        <w:t xml:space="preserve">Original Article</w:t>
      </w:r>
    </w:p>
    <w:p>
      <w:pPr>
        <w:spacing w:after="0" w:before="0" w:line="480"/>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3,586 (main text), 247 (abstract)</w:t>
      </w:r>
    </w:p>
    <w:p>
      <w:pPr>
        <w:spacing w:after="0" w:before="0" w:line="480"/>
      </w:pPr>
      <w:r>
        <w:rPr>
          <w:rFonts w:ascii="Times New Roman" w:cs="Times New Roman" w:eastAsia="Times New Roman" w:hAnsi="Times New Roman"/>
          <w:b/>
          <w:bCs/>
          <w:sz w:val="24"/>
          <w:szCs w:val="24"/>
        </w:rPr>
        <w:t xml:space="preserve">Tables: </w:t>
      </w:r>
      <w:r>
        <w:rPr>
          <w:rFonts w:ascii="Times New Roman" w:cs="Times New Roman" w:eastAsia="Times New Roman" w:hAnsi="Times New Roman"/>
          <w:sz w:val="24"/>
          <w:szCs w:val="24"/>
        </w:rPr>
        <w:t xml:space="preserve">2. Figures: 1. Supplementary material: 1 file (Tables S1 to S10). References: 41</w:t>
      </w:r>
    </w:p>
    <w:p>
      <w:pPr>
        <w:spacing w:after="0" w:before="0" w:line="480"/>
      </w:pPr>
      <w:r>
        <w:rPr>
          <w:rFonts w:ascii="Times New Roman" w:cs="Times New Roman" w:eastAsia="Times New Roman" w:hAnsi="Times New Roman"/>
          <w:b/>
          <w:bCs/>
          <w:sz w:val="24"/>
          <w:szCs w:val="24"/>
        </w:rPr>
        <w:t xml:space="preserve">ORCID iDs: </w:t>
      </w:r>
      <w:r>
        <w:rPr>
          <w:rFonts w:ascii="Times New Roman" w:cs="Times New Roman" w:eastAsia="Times New Roman" w:hAnsi="Times New Roman"/>
          <w:sz w:val="24"/>
          <w:szCs w:val="24"/>
        </w:rPr>
        <w:t xml:space="preserve">Jessica J. Wong: 0009-0002-7642-1613. Sunni L. Mumford: 0000-0003-0133-3176. Alexa A. Freedman: 0000-0001-9745-7768. Linda M. Ernst: 0000-0003-0104-5107. Yajnaseni Chakraborti: 0000-0002-6747-8821. David J. Margolis: 0000-0002-8540-7786. Ellen C. Caniglia: 0000-0002-9891-057X. Enrique F. Schisterman: 0000-0001-5238-519X. Stefanie N. Hinkle: 0000-0003-4312-708X. Ellen C. Francis: 0000-0001-8618-045X</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Abstract</w:t>
      </w:r>
    </w:p>
    <w:p>
      <w:pPr>
        <w:spacing w:after="0" w:before="0" w:line="480"/>
      </w:pPr>
      <w:r>
        <w:rPr>
          <w:rFonts w:ascii="Times New Roman" w:cs="Times New Roman" w:eastAsia="Times New Roman" w:hAnsi="Times New Roman"/>
          <w:b/>
          <w:bCs/>
          <w:sz w:val="24"/>
          <w:szCs w:val="24"/>
        </w:rPr>
        <w:t xml:space="preserve">Introduction: </w:t>
      </w:r>
      <w:r>
        <w:rPr>
          <w:rFonts w:ascii="Times New Roman" w:cs="Times New Roman" w:eastAsia="Times New Roman" w:hAnsi="Times New Roman"/>
          <w:sz w:val="24"/>
          <w:szCs w:val="24"/>
        </w:rPr>
        <w:t xml:space="preserve">Infantile haemangioma (IH), the most common tumour of infancy, is a raised, bright-red dermatological lesion appearing within weeks of birth, most often on the head, neck, or trunk, and affects 1.5% to 4.4% of newborns. Perinatal risk factors implicate the maternal-placental-foetal unit, yet placental injury patterns remain unexamined.</w:t>
      </w:r>
    </w:p>
    <w:p>
      <w:pPr>
        <w:spacing w:after="0" w:before="0" w:line="480"/>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This analysis included 45,268 singleton pregnancies from the Collaborative Perinatal Project, a prospective cohort enrolled across 12 US centres (1959 to 1965) with systematic placental histopathology. Exposures were (1) maternal vascular malperfusion (MVM) and (2) acute inflammation (AI), each as present or absent and as a continuous score, and (3) a joint exposure (neither, MVM only, AI only, or both). Standardised paediatrician examinations ascertained IH by age one. Adjusted relative risks (aRR) and 95% confidence intervals (CI) were estimated by modified Poisson regression with 11 covariates, study site, and stabilised inverse probability of censoring weights.</w:t>
      </w:r>
    </w:p>
    <w:p>
      <w:pPr>
        <w:spacing w:after="0" w:before="0" w:line="48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MVM was present in 13,119 (29.0%) pregnancies and AI in 10,188 (22.5%). IH developed in 700 of 40,700 infants (1.7%). Neither MVM (aRR 1.14, 95% CI 0.96, 1.35) nor AI (aRR 1.14, 95% CI 0.96, 1.35) was associated with IH, nor were the MVM score (aRR 1.05, 95% CI 0.97, 1.15) or AI score (aRR 1.03, 95% CI 0.98, 1.08). Infants whose placentas showed both MVM and AI had higher IH risk than those with neither (aRR 1.37, 95% CI 1.05, 1.78).</w:t>
      </w:r>
    </w:p>
    <w:p>
      <w:pPr>
        <w:spacing w:after="0" w:before="0" w:line="480"/>
      </w:pPr>
      <w:r>
        <w:rPr>
          <w:rFonts w:ascii="Times New Roman" w:cs="Times New Roman" w:eastAsia="Times New Roman" w:hAnsi="Times New Roman"/>
          <w:b/>
          <w:bCs/>
          <w:sz w:val="24"/>
          <w:szCs w:val="24"/>
        </w:rPr>
        <w:t xml:space="preserve">Discussion: </w:t>
      </w:r>
      <w:r>
        <w:rPr>
          <w:rFonts w:ascii="Times New Roman" w:cs="Times New Roman" w:eastAsia="Times New Roman" w:hAnsi="Times New Roman"/>
          <w:sz w:val="24"/>
          <w:szCs w:val="24"/>
        </w:rPr>
        <w:t xml:space="preserve">Neither placental MVM nor AI was associated with IH, although having both lesions was associated with higher risk.</w:t>
      </w:r>
    </w:p>
    <w:p>
      <w:pPr>
        <w:spacing w:after="0" w:before="24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Infantile haemangioma, Placental pathology, Maternal vascular malperfusion, Placental inflammation, Collaborative Perinatal Project, Cohort studies</w:t>
      </w:r>
    </w:p>
    <w:p>
      <w:pPr>
        <w:keepNext/>
        <w:spacing w:after="0" w:before="240" w:line="480"/>
      </w:pPr>
      <w:r>
        <w:rPr>
          <w:rFonts w:ascii="Times New Roman" w:cs="Times New Roman" w:eastAsia="Times New Roman" w:hAnsi="Times New Roman"/>
          <w:b/>
          <w:bCs/>
          <w:i w:val="false"/>
          <w:iCs w:val="false"/>
          <w:sz w:val="24"/>
          <w:szCs w:val="24"/>
        </w:rPr>
        <w:t xml:space="preserve">Highlights</w:t>
      </w:r>
    </w:p>
    <w:p>
      <w:pPr>
        <w:spacing w:after="0" w:before="0" w:line="480"/>
      </w:pPr>
      <w:r>
        <w:rPr>
          <w:rFonts w:ascii="Times New Roman" w:cs="Times New Roman" w:eastAsia="Times New Roman" w:hAnsi="Times New Roman"/>
          <w:sz w:val="24"/>
          <w:szCs w:val="24"/>
        </w:rPr>
        <w:t xml:space="preserve">• Placental pathology and infantile haemangioma were studied in 45,268 pregnancies</w:t>
      </w:r>
    </w:p>
    <w:p>
      <w:pPr>
        <w:spacing w:after="0" w:before="0" w:line="480"/>
      </w:pPr>
      <w:r>
        <w:rPr>
          <w:rFonts w:ascii="Times New Roman" w:cs="Times New Roman" w:eastAsia="Times New Roman" w:hAnsi="Times New Roman"/>
          <w:sz w:val="24"/>
          <w:szCs w:val="24"/>
        </w:rPr>
        <w:t xml:space="preserve">• Placental MVM and AI alone were not associated with infantile haemangioma</w:t>
      </w:r>
    </w:p>
    <w:p>
      <w:pPr>
        <w:spacing w:after="0" w:before="0" w:line="480"/>
      </w:pPr>
      <w:r>
        <w:rPr>
          <w:rFonts w:ascii="Times New Roman" w:cs="Times New Roman" w:eastAsia="Times New Roman" w:hAnsi="Times New Roman"/>
          <w:sz w:val="24"/>
          <w:szCs w:val="24"/>
        </w:rPr>
        <w:t xml:space="preserve">• Haemangioma risk was higher when placentas showed both MVM and AI</w:t>
      </w:r>
    </w:p>
    <w:p>
      <w:pPr>
        <w:spacing w:after="0" w:before="0" w:line="480"/>
      </w:pPr>
      <w:r>
        <w:rPr>
          <w:rFonts w:ascii="Times New Roman" w:cs="Times New Roman" w:eastAsia="Times New Roman" w:hAnsi="Times New Roman"/>
          <w:sz w:val="24"/>
          <w:szCs w:val="24"/>
        </w:rPr>
        <w:t xml:space="preserve">• Placental diagnoses varied several-fold across the 12 study centres</w:t>
      </w:r>
    </w:p>
    <w:p>
      <w:pPr>
        <w:spacing w:after="0" w:before="0" w:line="480"/>
      </w:pPr>
      <w:r>
        <w:rPr>
          <w:rFonts w:ascii="Times New Roman" w:cs="Times New Roman" w:eastAsia="Times New Roman" w:hAnsi="Times New Roman"/>
          <w:sz w:val="24"/>
          <w:szCs w:val="24"/>
        </w:rPr>
        <w:t xml:space="preserve">• Multicentre placental studies should account for centre and pathologist</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1. Introduction</w:t>
      </w:r>
    </w:p>
    <w:p>
      <w:pPr>
        <w:spacing w:after="0" w:before="0" w:line="480"/>
        <w:ind w:firstLine="480"/>
      </w:pPr>
      <w:r>
        <w:rPr>
          <w:rFonts w:ascii="Times New Roman" w:cs="Times New Roman" w:eastAsia="Times New Roman" w:hAnsi="Times New Roman"/>
          <w:sz w:val="24"/>
          <w:szCs w:val="24"/>
        </w:rPr>
        <w:t xml:space="preserve">Infantile haemangioma (IH) is the most common tumour of infancy, affecting approximately 1.5% to 4.4% of infants [1]. IH typically presents as a raised, bright-red lesion in the first weeks after birth, most often on the head, neck, or trunk, and proliferates rapidly during the first months of life before slowly involuting [2,3]. Lesions on the face, airway, or other anatomically sensitive sites can cause visual obstruction, airway compromise, ulceration, and lasting disfigurement [2,4]. Despite this burden, the aetiology of IH remains incompletely understood. The most consistently reported risk factors, including female sex, preterm birth, low birthweight, and multiple gestation, together with more variably reported factors such as placenta praevia and pre-eclampsia, point to the maternal-placental-foetal unit as a plausible origin [5–8].</w:t>
      </w:r>
    </w:p>
    <w:p>
      <w:pPr>
        <w:spacing w:after="0" w:before="0" w:line="480"/>
        <w:ind w:firstLine="480"/>
      </w:pPr>
      <w:r>
        <w:rPr>
          <w:rFonts w:ascii="Times New Roman" w:cs="Times New Roman" w:eastAsia="Times New Roman" w:hAnsi="Times New Roman"/>
          <w:sz w:val="24"/>
          <w:szCs w:val="24"/>
        </w:rPr>
        <w:t xml:space="preserve">Several lines of evidence link IH to the placenta. IH endothelial cells share a distinctive immunophenotype with placental microvessels, including expression of glucose transporter 1, merosin, Lewis Y antigen, and FcγRII [9], and IH and placenta show closely related transcriptional profiles [10]. Proliferating IH displays a hypoxia-responsive phenotype, hypoxia-induced mediators of progenitor cell mobilisation are elevated in affected children [11,12], and clinical and histological observations have linked placental hypoxia to neonatal haemangioma [13]. These observations have led to the hypothesis that placental injury, and the intrauterine hypoxia or inflammation that accompanies it, may prime the development of IH [2,14]. Contemporary placental pathology classifies lesions into injury patterns that reflect distinct biological processes [15,16].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 [16,17].</w:t>
      </w:r>
    </w:p>
    <w:p>
      <w:pPr>
        <w:spacing w:after="0" w:before="0" w:line="480"/>
        <w:ind w:firstLine="480"/>
      </w:pPr>
      <w:r>
        <w:rPr>
          <w:rFonts w:ascii="Times New Roman" w:cs="Times New Roman" w:eastAsia="Times New Roman" w:hAnsi="Times New Roman"/>
          <w:sz w:val="24"/>
          <w:szCs w:val="24"/>
        </w:rPr>
        <w:t xml:space="preserve">Few epidemiological studies have examined the placenta in relation to IH. In a prospective cohort of 594 infants with 27 IH cases, placental anomalies, a composite of clinical and pathological conditions including pre-eclampsia, placenta praevia, and growth restriction, were approximately twice as common in IH-affected pregnancies [7]. Among 26 very-low-birthweight infants, extensive infarction or retroplacental haematoma was reported in all 13 placentas from infants with IH [18], whereas a Swedish case-control study found no association between placental chorangioma and parent-reported IH [19]. These studies were small, drawn from selected clinical populations, and unadjusted for confounding, and none examined contemporary patterns of placental injury. Placental histopathology is also challenging to study across centres, because diagnostic thresholds for MVM and AI vary between pathologists and institutions [20–22].</w:t>
      </w:r>
    </w:p>
    <w:p>
      <w:pPr>
        <w:spacing w:after="0" w:before="0" w:line="480"/>
        <w:ind w:firstLine="480"/>
      </w:pPr>
      <w:r>
        <w:rPr>
          <w:rFonts w:ascii="Times New Roman" w:cs="Times New Roman" w:eastAsia="Times New Roman" w:hAnsi="Times New Roman"/>
          <w:sz w:val="24"/>
          <w:szCs w:val="24"/>
        </w:rPr>
        <w:t xml:space="preserve">The objective of this study was to examine associations of placental MVM and AI, individually and in combination, with paediatrician-ascertained IH by one year of age in the Collaborative Perinatal Project (CPP), a large prospective cohort with systematic placental histopathology and standardised infant examinations across 12 US clinical centres.</w:t>
      </w:r>
    </w:p>
    <w:p>
      <w:pPr>
        <w:keepNext/>
        <w:spacing w:after="0" w:before="240" w:line="480"/>
      </w:pPr>
      <w:r>
        <w:rPr>
          <w:rFonts w:ascii="Times New Roman" w:cs="Times New Roman" w:eastAsia="Times New Roman" w:hAnsi="Times New Roman"/>
          <w:b/>
          <w:bCs/>
          <w:i w:val="false"/>
          <w:iCs w:val="false"/>
          <w:sz w:val="24"/>
          <w:szCs w:val="24"/>
        </w:rPr>
        <w:t xml:space="preserve">2. Methods</w:t>
      </w:r>
    </w:p>
    <w:p>
      <w:pPr>
        <w:keepNext/>
        <w:spacing w:after="0" w:before="240" w:line="480"/>
      </w:pPr>
      <w:r>
        <w:rPr>
          <w:rFonts w:ascii="Times New Roman" w:cs="Times New Roman" w:eastAsia="Times New Roman" w:hAnsi="Times New Roman"/>
          <w:b/>
          <w:bCs/>
          <w:i/>
          <w:iCs/>
          <w:sz w:val="24"/>
          <w:szCs w:val="24"/>
        </w:rPr>
        <w:t xml:space="preserve">2.1. Study population</w:t>
      </w:r>
    </w:p>
    <w:p>
      <w:pPr>
        <w:spacing w:after="0" w:before="0" w:line="480"/>
        <w:ind w:firstLine="480"/>
      </w:pPr>
      <w:r>
        <w:rPr>
          <w:rFonts w:ascii="Times New Roman" w:cs="Times New Roman" w:eastAsia="Times New Roman" w:hAnsi="Times New Roman"/>
          <w:sz w:val="24"/>
          <w:szCs w:val="24"/>
        </w:rPr>
        <w:t xml:space="preserve">The CPP was a prospective cohort study conducted by the National Institute of Neurological Diseases and Stroke to examine perinatal factors in relation to neurological and developmental outcomes in offspring [23,24]. Pregnant women were enrolled at their first antenatal visit at 12 US clinical centres from 1959 to 1965, with deliveries continuing into 1966. Placentas were examined by trained study pathologists at each centre using a standardised protocol [25], and offspring underwent standardised examinations by study paediatricians at 12 months of age. The de-identified CPP data are publicly available through the US National Archives and Records Administration.</w:t>
      </w:r>
    </w:p>
    <w:p>
      <w:pPr>
        <w:spacing w:after="0" w:before="0" w:line="480"/>
        <w:ind w:firstLine="480"/>
      </w:pPr>
      <w:r>
        <w:rPr>
          <w:rFonts w:ascii="Times New Roman" w:cs="Times New Roman" w:eastAsia="Times New Roman" w:hAnsi="Times New Roman"/>
          <w:sz w:val="24"/>
          <w:szCs w:val="24"/>
        </w:rPr>
        <w:t xml:space="preserve">Of 59,391 pregnancies (infants) in the CPP, 47,090 had a placental pathology record (Fig.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 [5]. Plurality was taken from the CPP delivery record and cross-checked against the placental pathology file. After further excluding pregnancies with a missing MVM score (n = 887) or missing AI data (n = 2), the analytic sample comprised 45,268 singleton pregnancies. This secondary analysis of de-identified, publicly available data was determined exempt by the University of Pennsylvania Institutional Review Board.</w:t>
      </w:r>
    </w:p>
    <w:p>
      <w:pPr>
        <w:keepNext/>
        <w:spacing w:after="0" w:before="240" w:line="480"/>
      </w:pPr>
      <w:r>
        <w:rPr>
          <w:rFonts w:ascii="Times New Roman" w:cs="Times New Roman" w:eastAsia="Times New Roman" w:hAnsi="Times New Roman"/>
          <w:b/>
          <w:bCs/>
          <w:i/>
          <w:iCs/>
          <w:sz w:val="24"/>
          <w:szCs w:val="24"/>
        </w:rPr>
        <w:t xml:space="preserve">2.2. Placental pathology</w:t>
      </w:r>
    </w:p>
    <w:p>
      <w:pPr>
        <w:spacing w:after="0" w:before="0" w:line="480"/>
        <w:ind w:firstLine="480"/>
      </w:pPr>
      <w:r>
        <w:rPr>
          <w:rFonts w:ascii="Times New Roman" w:cs="Times New Roman" w:eastAsia="Times New Roman" w:hAnsi="Times New Roman"/>
          <w:sz w:val="24"/>
          <w:szCs w:val="24"/>
        </w:rPr>
        <w:t xml:space="preserve">Placental examinations recorded individual lesions by anatomical location, including the umbilical cord, membranes, decidua, villi, and intervillous space. Consistent with contemporary classifications [15,16], individual lesions were organised by the authors into patterns of injury, as previously described for this cohort [25]. The MVM score summed the available MVM lesions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 [25]. Four lesions in the current MVM definition were not recorded in the CPP [25]. MVM was analysed as present (score of one or more) versus absent, as a continuous score (observed range 0 to 8), and as grade (none, low [score 1 to 2], or high [score 3 or more]).</w:t>
      </w:r>
    </w:p>
    <w:p>
      <w:pPr>
        <w:spacing w:after="0" w:before="0" w:line="480"/>
        <w:ind w:firstLine="480"/>
      </w:pPr>
      <w:r>
        <w:rPr>
          <w:rFonts w:ascii="Times New Roman" w:cs="Times New Roman" w:eastAsia="Times New Roman" w:hAnsi="Times New Roman"/>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 [15,20]. AI was analysed as present versus absent, as a score counting the number of involved compartments (0 to 7), as stage (none, low, or high) as recorded in the CPP placental dataset, and by location (maternal only, foetal only, or both).</w:t>
      </w:r>
    </w:p>
    <w:p>
      <w:pPr>
        <w:keepNext/>
        <w:spacing w:after="0" w:before="240" w:line="480"/>
      </w:pPr>
      <w:r>
        <w:rPr>
          <w:rFonts w:ascii="Times New Roman" w:cs="Times New Roman" w:eastAsia="Times New Roman" w:hAnsi="Times New Roman"/>
          <w:b/>
          <w:bCs/>
          <w:i/>
          <w:iCs/>
          <w:sz w:val="24"/>
          <w:szCs w:val="24"/>
        </w:rPr>
        <w:t xml:space="preserve">2.3. Outcome</w:t>
      </w:r>
    </w:p>
    <w:p>
      <w:pPr>
        <w:spacing w:after="0" w:before="0" w:line="480"/>
        <w:ind w:firstLine="480"/>
      </w:pPr>
      <w:r>
        <w:rPr>
          <w:rFonts w:ascii="Times New Roman" w:cs="Times New Roman" w:eastAsia="Times New Roman" w:hAnsi="Times New Roman"/>
          <w:sz w:val="24"/>
          <w:szCs w:val="24"/>
        </w:rPr>
        <w:t xml:space="preserve">Study paediatricians examined surviving offspring at approximately 12 months of age using a standardised protocol and recorded IH as definite, suspect, or absent. The primary outcome was definite IH. In a prespecified sensitivity analysis, suspect cases were also classified as IH.</w:t>
      </w:r>
    </w:p>
    <w:p>
      <w:pPr>
        <w:keepNext/>
        <w:spacing w:after="0" w:before="240" w:line="480"/>
      </w:pPr>
      <w:r>
        <w:rPr>
          <w:rFonts w:ascii="Times New Roman" w:cs="Times New Roman" w:eastAsia="Times New Roman" w:hAnsi="Times New Roman"/>
          <w:b/>
          <w:bCs/>
          <w:i/>
          <w:iCs/>
          <w:sz w:val="24"/>
          <w:szCs w:val="24"/>
        </w:rPr>
        <w:t xml:space="preserve">2.4. Covariates</w:t>
      </w:r>
    </w:p>
    <w:p>
      <w:pPr>
        <w:spacing w:after="0" w:before="0" w:line="480"/>
        <w:ind w:firstLine="480"/>
      </w:pPr>
      <w:r>
        <w:rPr>
          <w:rFonts w:ascii="Times New Roman" w:cs="Times New Roman" w:eastAsia="Times New Roman" w:hAnsi="Times New Roman"/>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(including superimposed pre-eclampsia), and infant sex (female [reference] or male). Race and ethnicity was included as a marker of social and structural factors that may influence both health and diagnosis. Study site was included in the primary model because placental diagnoses and IH prevalence varied markedly across centres. Gestational age, birthweight, and hypertensive disorders arising during pregnancy were not adjusted for because they may lie on the pathway between placental pathology and IH [26]. Small for gestational age (SGA), shown descriptively, was defined as birthweight below the 10th percentile for gestational age and sex based on an internal CPP reference.</w:t>
      </w:r>
    </w:p>
    <w:p>
      <w:pPr>
        <w:keepNext/>
        <w:spacing w:after="0" w:before="240" w:line="480"/>
      </w:pPr>
      <w:r>
        <w:rPr>
          <w:rFonts w:ascii="Times New Roman" w:cs="Times New Roman" w:eastAsia="Times New Roman" w:hAnsi="Times New Roman"/>
          <w:b/>
          <w:bCs/>
          <w:i/>
          <w:iCs/>
          <w:sz w:val="24"/>
          <w:szCs w:val="24"/>
        </w:rPr>
        <w:t xml:space="preserve">2.5. Statistical analysis</w:t>
      </w:r>
    </w:p>
    <w:p>
      <w:pPr>
        <w:spacing w:after="0" w:before="0" w:line="480"/>
        <w:ind w:firstLine="480"/>
      </w:pPr>
      <w:r>
        <w:rPr>
          <w:rFonts w:ascii="Times New Roman" w:cs="Times New Roman" w:eastAsia="Times New Roman" w:hAnsi="Times New Roman"/>
          <w:sz w:val="24"/>
          <w:szCs w:val="24"/>
        </w:rPr>
        <w:t xml:space="preserve">Missing covariate data (body mass index 8.7%, income 6.3%, education 1.4%, parity 1.0%, smoking 0.8%, and less than 0.1% for other covariates) were imputed by multiple imputation by chained equations (20 datasets, 10 iterations), using all covariates, exposures, and study site as predictors [27]. Exposures and outcomes were not imputed. Estimates were combined across datasets using Rubin's rules [28].</w:t>
      </w:r>
    </w:p>
    <w:p>
      <w:pPr>
        <w:spacing w:after="0" w:before="0" w:line="480"/>
        <w:ind w:firstLine="480"/>
      </w:pPr>
      <w:r>
        <w:rPr>
          <w:rFonts w:ascii="Times New Roman" w:cs="Times New Roman" w:eastAsia="Times New Roman" w:hAnsi="Times New Roman"/>
          <w:sz w:val="24"/>
          <w:szCs w:val="24"/>
        </w:rPr>
        <w:t xml:space="preserve">Of the 45,268 infants, 1,834 (4.1%) died before the one-year examination and 2,734 (6.0%) survived without an IH examination. To reduce selection bias from restricting analyses to infants with an observed outcome [29], stabilised inverse probability of censoring weights were estimated within each imputed dataset. The denominator model included MVM, AI, all covariates, and study site, and the numerator model included an intercept only [30]. Weights ranged from 0.91 to 1.81.</w:t>
      </w:r>
    </w:p>
    <w:p>
      <w:pPr>
        <w:spacing w:after="0" w:before="0" w:line="480"/>
        <w:ind w:firstLine="480"/>
      </w:pPr>
      <w:r>
        <w:rPr>
          <w:rFonts w:ascii="Times New Roman" w:cs="Times New Roman" w:eastAsia="Times New Roman" w:hAnsi="Times New Roman"/>
          <w:sz w:val="24"/>
          <w:szCs w:val="24"/>
        </w:rPr>
        <w:t xml:space="preserve">Relative risks (RR) and 95% confidence intervals (CI) were estimated with modified Poisson regression [31] using generalised estimating equations with an exchangeable correlation structure, to account for siblings born to the same mother [32]. The exposures, (1) MVM and (2) AI, were each examined in separate models, both as binary variables (present versus absent) and as continuous scores (MVM per point and AI per involved compartment). MVM and AI were also examined jointly using (1) a four-category joint exposure that compared placentas with MVM only, AI only, or both against placentas with neither, and (2) a mutually adjusted model that included any MVM and any AI in the same model, to estimate the association of each lesion pattern while holding the other constant. Three models were fitted for each exposure: (1) crude, (2) primary (11 covariates, study site, and weights), and (3) secondary (11 covariates and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 [33,34].</w:t>
      </w:r>
    </w:p>
    <w:p>
      <w:pPr>
        <w:spacing w:after="0" w:before="0" w:line="480"/>
        <w:ind w:firstLine="480"/>
      </w:pPr>
      <w:r>
        <w:rPr>
          <w:rFonts w:ascii="Times New Roman" w:cs="Times New Roman" w:eastAsia="Times New Roman" w:hAnsi="Times New Roman"/>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92.6% of placentas were examined by one pathologist [22], versus the other 11 centres, and (6) the broader outcome that included suspect IH.</w:t>
      </w:r>
    </w:p>
    <w:p>
      <w:pPr>
        <w:keepNext/>
        <w:spacing w:after="0" w:before="240" w:line="480"/>
      </w:pPr>
      <w:r>
        <w:rPr>
          <w:rFonts w:ascii="Times New Roman" w:cs="Times New Roman" w:eastAsia="Times New Roman" w:hAnsi="Times New Roman"/>
          <w:b/>
          <w:bCs/>
          <w:i w:val="false"/>
          <w:iCs w:val="false"/>
          <w:sz w:val="24"/>
          <w:szCs w:val="24"/>
        </w:rPr>
        <w:t xml:space="preserve">3. Results</w:t>
      </w:r>
    </w:p>
    <w:p>
      <w:pPr>
        <w:keepNext/>
        <w:spacing w:after="0" w:before="240" w:line="480"/>
      </w:pPr>
      <w:r>
        <w:rPr>
          <w:rFonts w:ascii="Times New Roman" w:cs="Times New Roman" w:eastAsia="Times New Roman" w:hAnsi="Times New Roman"/>
          <w:b/>
          <w:bCs/>
          <w:i/>
          <w:iCs/>
          <w:sz w:val="24"/>
          <w:szCs w:val="24"/>
        </w:rPr>
        <w:t xml:space="preserve">3.1. Participants</w:t>
      </w:r>
    </w:p>
    <w:p>
      <w:pPr>
        <w:spacing w:after="0" w:before="0" w:line="480"/>
        <w:ind w:firstLine="480"/>
      </w:pPr>
      <w:r>
        <w:rPr>
          <w:rFonts w:ascii="Times New Roman" w:cs="Times New Roman" w:eastAsia="Times New Roman" w:hAnsi="Times New Roman"/>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one year, 1.7% (700) had definite IH and a further 0.6% (230) had suspect IH (Supplementary Table S1).</w:t>
      </w:r>
    </w:p>
    <w:p>
      <w:pPr>
        <w:spacing w:after="0" w:before="0" w:line="480"/>
        <w:ind w:firstLine="480"/>
      </w:pPr>
      <w:r>
        <w:rPr>
          <w:rFonts w:ascii="Times New Roman" w:cs="Times New Roman" w:eastAsia="Times New Roman" w:hAnsi="Times New Roman"/>
          <w:sz w:val="24"/>
          <w:szCs w:val="24"/>
        </w:rPr>
        <w:t xml:space="preserve">Across centres, any MVM ranged from 9.8% to 80.3%, any AI from 14.5% to 38.1%, and definite IH from 0.4% to 3.6%, with Boston contributing 41.4% (290/700) of IH cases (Supplementary Table S2).</w:t>
      </w:r>
    </w:p>
    <w:p>
      <w:pPr>
        <w:keepNext/>
        <w:spacing w:after="0" w:before="240" w:line="480"/>
      </w:pPr>
      <w:r>
        <w:rPr>
          <w:rFonts w:ascii="Times New Roman" w:cs="Times New Roman" w:eastAsia="Times New Roman" w:hAnsi="Times New Roman"/>
          <w:b/>
          <w:bCs/>
          <w:i/>
          <w:iCs/>
          <w:sz w:val="24"/>
          <w:szCs w:val="24"/>
        </w:rPr>
        <w:t xml:space="preserve">3.2. MVM, AI, and IH</w:t>
      </w:r>
    </w:p>
    <w:p>
      <w:pPr>
        <w:spacing w:after="0" w:before="0" w:line="480"/>
        <w:ind w:firstLine="480"/>
      </w:pPr>
      <w:r>
        <w:rPr>
          <w:rFonts w:ascii="Times New Roman" w:cs="Times New Roman" w:eastAsia="Times New Roman" w:hAnsi="Times New Roman"/>
          <w:sz w:val="24"/>
          <w:szCs w:val="24"/>
        </w:rPr>
        <w:t xml:space="preserve">IH occurred in 2.0% (225/11,324) of infants with MVM and 1.6% (475/29,376) of those without, and in 2.0% (181/8,880) of infants with AI and 1.6% (519/31,820) of those without (Table 2). In the primary model, neither MVM (RR 1.14, 95% CI 0.96, 1.35) nor AI (RR 1.14, 95% CI 0.96, 1.35) was associated with IH, and neither was the MVM score (per point, RR 1.05, 95% CI 0.97, 1.15) or the AI score (per involved compartment, RR 1.03, 95% CI 0.98, 1.08). In the mutually adjusted model, estimates were unchanged (MVM RR 1.14, 95% CI 0.96, 1.35, and AI RR 1.13, 95% CI 0.96, 1.34) (Supplementary Table S4). In the secondary model without study site, estimates were larger (MVM RR 1.25, 95% CI 1.07, 1.46, and AI RR 1.20, 95% CI 1.02, 1.42).</w:t>
      </w:r>
    </w:p>
    <w:p>
      <w:pPr>
        <w:keepNext/>
        <w:spacing w:after="0" w:before="240" w:line="480"/>
      </w:pPr>
      <w:r>
        <w:rPr>
          <w:rFonts w:ascii="Times New Roman" w:cs="Times New Roman" w:eastAsia="Times New Roman" w:hAnsi="Times New Roman"/>
          <w:b/>
          <w:bCs/>
          <w:i/>
          <w:iCs/>
          <w:sz w:val="24"/>
          <w:szCs w:val="24"/>
        </w:rPr>
        <w:t xml:space="preserve">3.3. Joint exposure to MVM and AI</w:t>
      </w:r>
    </w:p>
    <w:p>
      <w:pPr>
        <w:spacing w:after="0" w:before="0" w:line="480"/>
        <w:ind w:firstLine="480"/>
      </w:pPr>
      <w:r>
        <w:rPr>
          <w:rFonts w:ascii="Times New Roman" w:cs="Times New Roman" w:eastAsia="Times New Roman" w:hAnsi="Times New Roman"/>
          <w:sz w:val="24"/>
          <w:szCs w:val="24"/>
        </w:rPr>
        <w:t xml:space="preserve">Compared with placentas that had neither MVM nor AI (IH 1.6%, 364/23,391), IH risk was similar for placentas with MVM only (1.8%, RR 1.08, 95% CI 0.89, 1.32) or AI only (1.9%, RR 1.07, 95% CI 0.86, 1.32), and higher for placentas with both (2.4%, 70/2,895, RR 1.37, 95% CI 1.05, 1.78) (Table 2). The RERI was 0.22 (95% CI −0.20, 0.64), the attributable proportion was 0.16 (95% CI −0.12, 0.44), and the ratio of RRs was 1.18 (95% CI 0.83, 1.68). These estimates were compatible with, but did not establish, interaction on either scale (Supplementary Table S5).</w:t>
      </w:r>
    </w:p>
    <w:p>
      <w:pPr>
        <w:keepNext/>
        <w:spacing w:after="0" w:before="240" w:line="480"/>
      </w:pPr>
      <w:r>
        <w:rPr>
          <w:rFonts w:ascii="Times New Roman" w:cs="Times New Roman" w:eastAsia="Times New Roman" w:hAnsi="Times New Roman"/>
          <w:b/>
          <w:bCs/>
          <w:i/>
          <w:iCs/>
          <w:sz w:val="24"/>
          <w:szCs w:val="24"/>
        </w:rPr>
        <w:t xml:space="preserve">3.4. Sensitivity analyses</w:t>
      </w:r>
    </w:p>
    <w:p>
      <w:pPr>
        <w:spacing w:after="0" w:before="0" w:line="480"/>
        <w:ind w:firstLine="480"/>
      </w:pPr>
      <w:r>
        <w:rPr>
          <w:rFonts w:ascii="Times New Roman" w:cs="Times New Roman" w:eastAsia="Times New Roman" w:hAnsi="Times New Roman"/>
          <w:sz w:val="24"/>
          <w:szCs w:val="24"/>
        </w:rPr>
        <w:t xml:space="preserve">IH risk did not increase with lesion severity. Compared with no MVM, the RR was 1.15 (95% CI 0.96, 1.37) for low-grade and 1.09 (95% CI 0.77, 1.55) for high-grade MVM. Compared with no AI, the RR was 1.26 (95% CI 1.02, 1.55) for low-stage and 1.00 (95% CI 0.78, 1.28) for high-stage AI (Supplementary Table S6). By maternal or foetal involvement, RRs were 1.07 (95% CI 0.81, 1.43) for a maternal response only, 1.12 (95% CI 0.86, 1.47) for a foetal response only, and 1.20 (95% CI 0.94, 1.55) for both (Supplementary Table S7).</w:t>
      </w:r>
    </w:p>
    <w:p>
      <w:pPr>
        <w:spacing w:after="0" w:before="0" w:line="480"/>
        <w:ind w:firstLine="480"/>
      </w:pPr>
      <w:r>
        <w:rPr>
          <w:rFonts w:ascii="Times New Roman" w:cs="Times New Roman" w:eastAsia="Times New Roman" w:hAnsi="Times New Roman"/>
          <w:sz w:val="24"/>
          <w:szCs w:val="24"/>
        </w:rPr>
        <w:t xml:space="preserve">Adjustment for the 11 covariates changed estimates little, and almost all of the difference between crude and primary estimates arose when study site was added (Supplementary Table S3). Results were similar when study site was modelled as a random effect (MVM RR 1.16, 95% CI 0.98, 1.37, and AI RR 1.15, 95% CI 0.97, 1.36) (Supplementary Table S9). In Boston, the RR was 1.11 (95% CI 0.87, 1.42) for MVM and 1.28 (95% CI 1.00, 1.63) for AI, compared with 1.14 (95% CI 0.90, 1.44) and 1.03 (95% CI 0.82, 1.31) at the other 11 centres (Supplementary Table S8). AI was recorded more often in Boston than elsewhere (27.6% vs 20.9%), whereas MVM prevalence was similar (29.8% vs 28.7%). Foetal-only inflammation, which involved the umbilical vein in 87.8% of cases, had the largest crude estimate of any AI category (RR 1.67, 95% CI 1.29, 2.18), which fell to 1.12 after adjustment for study site. Of the 2,224 placentas with foetal-only inflammation among infants examined at one year, 61.1% (1,359) were from Boston, where this pattern was recorded in 14.1% of placentas compared with 0.9% to 8.1% at the other centres.</w:t>
      </w:r>
    </w:p>
    <w:p>
      <w:pPr>
        <w:spacing w:after="0" w:before="0" w:line="480"/>
        <w:ind w:firstLine="480"/>
      </w:pPr>
      <w:r>
        <w:rPr>
          <w:rFonts w:ascii="Times New Roman" w:cs="Times New Roman" w:eastAsia="Times New Roman" w:hAnsi="Times New Roman"/>
          <w:sz w:val="24"/>
          <w:szCs w:val="24"/>
        </w:rPr>
        <w:t xml:space="preserve">When suspect IH was included in the outcome (930 cases), estimates were similar (MVM RR 1.13, 95% CI 0.98, 1.30, and AI RR 1.10, 95% CI 0.95, 1.27) (Supplementary Table S10). Inverse probability weighting changed no estimate by more than 0.01.</w:t>
      </w:r>
    </w:p>
    <w:p>
      <w:pPr>
        <w:keepNext/>
        <w:spacing w:after="0" w:before="240" w:line="480"/>
      </w:pPr>
      <w:r>
        <w:rPr>
          <w:rFonts w:ascii="Times New Roman" w:cs="Times New Roman" w:eastAsia="Times New Roman" w:hAnsi="Times New Roman"/>
          <w:b/>
          <w:bCs/>
          <w:i w:val="false"/>
          <w:iCs w:val="false"/>
          <w:sz w:val="24"/>
          <w:szCs w:val="24"/>
        </w:rPr>
        <w:t xml:space="preserve">4. Discussion</w:t>
      </w:r>
    </w:p>
    <w:p>
      <w:pPr>
        <w:keepNext/>
        <w:spacing w:after="0" w:before="240" w:line="480"/>
      </w:pPr>
      <w:r>
        <w:rPr>
          <w:rFonts w:ascii="Times New Roman" w:cs="Times New Roman" w:eastAsia="Times New Roman" w:hAnsi="Times New Roman"/>
          <w:b/>
          <w:bCs/>
          <w:i/>
          <w:iCs/>
          <w:sz w:val="24"/>
          <w:szCs w:val="24"/>
        </w:rPr>
        <w:t xml:space="preserve">4.1. Principal findings</w:t>
      </w:r>
    </w:p>
    <w:p>
      <w:pPr>
        <w:spacing w:after="0" w:before="0" w:line="480"/>
        <w:ind w:firstLine="480"/>
      </w:pPr>
      <w:r>
        <w:rPr>
          <w:rFonts w:ascii="Times New Roman" w:cs="Times New Roman" w:eastAsia="Times New Roman" w:hAnsi="Times New Roman"/>
          <w:sz w:val="24"/>
          <w:szCs w:val="24"/>
        </w:rPr>
        <w:t xml:space="preserve">In this prospective cohort of 45,268 singleton pregnancies, neither placental MVM nor AI was associated with IH after accounting for study site. Point estimates were slightly above the null, and the confidence intervals could not exclude either no association or a small increase in risk. There was no dose-response by MVM grade or AI stage. IH risk was highest when both MVM and AI were present, although the interaction estimate was imprecise. Much of the association observed without adjustment for site was explained by study site, which was more strongly associated with the recorded placental diagnoses than with IH.</w:t>
      </w:r>
    </w:p>
    <w:p>
      <w:pPr>
        <w:keepNext/>
        <w:spacing w:after="0" w:before="240" w:line="480"/>
      </w:pPr>
      <w:r>
        <w:rPr>
          <w:rFonts w:ascii="Times New Roman" w:cs="Times New Roman" w:eastAsia="Times New Roman" w:hAnsi="Times New Roman"/>
          <w:b/>
          <w:bCs/>
          <w:i/>
          <w:iCs/>
          <w:sz w:val="24"/>
          <w:szCs w:val="24"/>
        </w:rPr>
        <w:t xml:space="preserve">4.2. Study site and placental diagnosis</w:t>
      </w:r>
    </w:p>
    <w:p>
      <w:pPr>
        <w:spacing w:after="0" w:before="0" w:line="480"/>
        <w:ind w:firstLine="480"/>
      </w:pPr>
      <w:r>
        <w:rPr>
          <w:rFonts w:ascii="Times New Roman" w:cs="Times New Roman" w:eastAsia="Times New Roman" w:hAnsi="Times New Roman"/>
          <w:sz w:val="24"/>
          <w:szCs w:val="24"/>
        </w:rPr>
        <w:t xml:space="preserve">Variation in placental diagnosis across centres is central to interpreting these findings. MVM was recorded in 9.8% of placentas at one CPP centre and 80.3% at another, a range too wide to reflect differences in the populations alone. This is consistent with evidence that agreement between pathologists is only slight to fair for MVM, even when Amsterdam criteria are applied [21], and that agreement for AI, although high for its presence, is lower for staging [20]. Because IH prevalence also varied across centres, possibly reflecting differences in populations and in paediatric ascertainment, centre-level differences in diagnostic thresholds can confound the association between a recorded placental lesion and IH. Adjustment for study site compares placentas read within the same centre, and the resulting attenuation (MVM from 1.25 to 1.14, AI from 1.20 to 1.14) is consistent with removal of between-centre confounding. Estimates were similar when site was modelled as a random effect.</w:t>
      </w:r>
    </w:p>
    <w:p>
      <w:pPr>
        <w:spacing w:after="0" w:before="0" w:line="480"/>
        <w:ind w:firstLine="480"/>
      </w:pPr>
      <w:r>
        <w:rPr>
          <w:rFonts w:ascii="Times New Roman" w:cs="Times New Roman" w:eastAsia="Times New Roman" w:hAnsi="Times New Roman"/>
          <w:sz w:val="24"/>
          <w:szCs w:val="24"/>
        </w:rPr>
        <w:t xml:space="preserve">The Boston centre illustrates how reader practice can shape an exposure. Earlier CPP analyses restricted placental analyses to Boston, where one pathologist examined 92.6% of placentas, to maximise consistency [22]. In the present study, AI was recorded more often in Boston than at other centres, and foetal inflammation without a maternal response, usually limited to the umbilical vein, was recorded far more often. Because a foetal inflammatory response ordinarily follows a maternal response [20,35], this pattern suggests a lower diagnostic threshold rather than a different population. Consistency within a single reader therefore does not ensure comparability with other readers, and the stronger association between AI and IH in Boston should be interpreted with caution. Multicentre placental studies should account for centre and, where possible, reader, and would benefit from central review with calibration across pathologists.</w:t>
      </w:r>
    </w:p>
    <w:p>
      <w:pPr>
        <w:keepNext/>
        <w:spacing w:after="0" w:before="240" w:line="480"/>
      </w:pPr>
      <w:r>
        <w:rPr>
          <w:rFonts w:ascii="Times New Roman" w:cs="Times New Roman" w:eastAsia="Times New Roman" w:hAnsi="Times New Roman"/>
          <w:b/>
          <w:bCs/>
          <w:i/>
          <w:iCs/>
          <w:sz w:val="24"/>
          <w:szCs w:val="24"/>
        </w:rPr>
        <w:t xml:space="preserve">4.3. Comparison with previous studies</w:t>
      </w:r>
    </w:p>
    <w:p>
      <w:pPr>
        <w:spacing w:after="0" w:before="0" w:line="480"/>
        <w:ind w:firstLine="480"/>
      </w:pPr>
      <w:r>
        <w:rPr>
          <w:rFonts w:ascii="Times New Roman" w:cs="Times New Roman" w:eastAsia="Times New Roman" w:hAnsi="Times New Roman"/>
          <w:sz w:val="24"/>
          <w:szCs w:val="24"/>
        </w:rPr>
        <w:t xml:space="preserve">Earlier studies reported that placental anomalies were more common in pregnancies affected by IH [7,18]. These studies were small, used composite or selected exposures, and did not adjust for confounding, and the present estimates are considerably smaller. The findings are also consistent with a previous CPP analysis that found no clear association between hypertensive disorders of pregnancy and IH [36]. This may reflect that clinically defined hypertensive disorders are not consistently accompanied by MVM [37]. The findings also agree with evidence that the association between pre-eclampsia and IH in administrative data largely reflects greater surveillance of infants with longer neonatal stays [38]. Together, these studies suggest that placental vascular injury is not a major determinant of IH, and that any contribution is likely to be small.</w:t>
      </w:r>
    </w:p>
    <w:p>
      <w:pPr>
        <w:keepNext/>
        <w:spacing w:after="0" w:before="240" w:line="480"/>
      </w:pPr>
      <w:r>
        <w:rPr>
          <w:rFonts w:ascii="Times New Roman" w:cs="Times New Roman" w:eastAsia="Times New Roman" w:hAnsi="Times New Roman"/>
          <w:b/>
          <w:bCs/>
          <w:i/>
          <w:iCs/>
          <w:sz w:val="24"/>
          <w:szCs w:val="24"/>
        </w:rPr>
        <w:t xml:space="preserve">4.4. Biological interpretation</w:t>
      </w:r>
    </w:p>
    <w:p>
      <w:pPr>
        <w:spacing w:after="0" w:before="0" w:line="480"/>
        <w:ind w:firstLine="480"/>
      </w:pPr>
      <w:r>
        <w:rPr>
          <w:rFonts w:ascii="Times New Roman" w:cs="Times New Roman" w:eastAsia="Times New Roman" w:hAnsi="Times New Roman"/>
          <w:sz w:val="24"/>
          <w:szCs w:val="24"/>
        </w:rPr>
        <w:t xml:space="preserve">The hypoxia hypothesis offers a plausible framework for a link between MVM and IH. IH shares markers and transcriptional programmes with placental tissue [9,10], and hypoxia-induced mediators of progenitor cell mobilisation are elevated in children with IH [11,14]. However, this evidence demonstrates a shared or hypoxia-responsive phenotype within established lesions rather than a causal effect of placental malperfusion, and genetic studies have not supported a maternal origin of IH cells [39]. The null finding for MVM does not refute the hypothesis, because a small effect cannot be excluded, but it provides no support for a strong link. The absence of a gradient by MVM grade argues against a strong effect, although incomplete capture of MVM lesions and misclassification would attenuate a true gradient. One possibility, consistent with the predominantly postnatal growth of IH, is that antenatal placental injury expands a susceptible population of endothelial progenitor cells, whereas postnatal hormonal and angiogenic signals determine whether it proliferates [2,3]. This two-stage model has not been tested prospectively.</w:t>
      </w:r>
    </w:p>
    <w:p>
      <w:pPr>
        <w:spacing w:after="0" w:before="0" w:line="480"/>
        <w:ind w:firstLine="480"/>
      </w:pPr>
      <w:r>
        <w:rPr>
          <w:rFonts w:ascii="Times New Roman" w:cs="Times New Roman" w:eastAsia="Times New Roman" w:hAnsi="Times New Roman"/>
          <w:sz w:val="24"/>
          <w:szCs w:val="24"/>
        </w:rPr>
        <w:t xml:space="preserve">AI is a less plausible cause of IH. Histological AI generally reflects an inflammatory process close to delivery, often of infectious origin, and a direct effect on localised skin angiogenesis would require a systemic foetal inflammatory response with lasting consequences [17,35]. The higher estimate for low-stage than high-stage AI, the absence of a clear gradient from maternal to foetal involvement, and the centre-specific pattern of foetal-only inflammation all argue against a causal interpretation. For retinopathy of prematurity, another postnatal disorder of angiogenesis, the association with chorioamnionitis is largely explained by lower gestational age [40], and AI may similarly mark pathways to preterm birth rather than act on IH directly.</w:t>
      </w:r>
    </w:p>
    <w:p>
      <w:pPr>
        <w:spacing w:after="0" w:before="0" w:line="480"/>
        <w:ind w:firstLine="480"/>
      </w:pPr>
      <w:r>
        <w:rPr>
          <w:rFonts w:ascii="Times New Roman" w:cs="Times New Roman" w:eastAsia="Times New Roman" w:hAnsi="Times New Roman"/>
          <w:sz w:val="24"/>
          <w:szCs w:val="24"/>
        </w:rPr>
        <w:t xml:space="preserve">The higher risk when MVM and AI co-occurred is compatible with a multiple-hit model in which vascular and inflammatory insults converge on foetal angiogenic signalling [2,17]. However, the interaction estimate was imprecise and compatible with no departure from additivity, neither lesion showed a dose-response, and the joint category was one of several related contrasts. This finding should therefore be regarded as hypothesis-generating.</w:t>
      </w:r>
    </w:p>
    <w:p>
      <w:pPr>
        <w:keepNext/>
        <w:spacing w:after="0" w:before="240" w:line="480"/>
      </w:pPr>
      <w:r>
        <w:rPr>
          <w:rFonts w:ascii="Times New Roman" w:cs="Times New Roman" w:eastAsia="Times New Roman" w:hAnsi="Times New Roman"/>
          <w:b/>
          <w:bCs/>
          <w:i/>
          <w:iCs/>
          <w:sz w:val="24"/>
          <w:szCs w:val="24"/>
        </w:rPr>
        <w:t xml:space="preserve">4.5. Strengths and limitations</w:t>
      </w:r>
    </w:p>
    <w:p>
      <w:pPr>
        <w:spacing w:after="0" w:before="0" w:line="480"/>
        <w:ind w:firstLine="480"/>
      </w:pPr>
      <w:r>
        <w:rPr>
          <w:rFonts w:ascii="Times New Roman" w:cs="Times New Roman" w:eastAsia="Times New Roman" w:hAnsi="Times New Roman"/>
          <w:sz w:val="24"/>
          <w:szCs w:val="24"/>
        </w:rPr>
        <w:t xml:space="preserve">Strengths of this study include its prospective design, in which placentas were examined at delivery before any infant outcome was known, and the standardised paediatrician examination of all surviving infants regardless of exposure, which avoids the referral and surveillance biases of clinic-based and administrative studies. More than 45,000 placentas were examined under a common protocol. The analysis addressed confounding by centre, missing covariate data, selection due to death and loss to follow-up, and clustering of siblings.</w:t>
      </w:r>
    </w:p>
    <w:p>
      <w:pPr>
        <w:spacing w:after="0" w:before="0" w:line="480"/>
        <w:ind w:firstLine="480"/>
      </w:pPr>
      <w:r>
        <w:rPr>
          <w:rFonts w:ascii="Times New Roman" w:cs="Times New Roman" w:eastAsia="Times New Roman" w:hAnsi="Times New Roman"/>
          <w:sz w:val="24"/>
          <w:szCs w:val="24"/>
        </w:rPr>
        <w:t xml:space="preserve">Several limitations should be considered. First, despite the size of the cohort, IH is uncommon, and the study had limited power to detect small associations. Power to detect the observed RR of 1.14 was approximately 36% for MVM and 32% for AI, so small effects cannot be excluded. Second, the CPP predates the Amsterdam consensus, four lesions in the current MVM definition were not recorded [25], and both random and centre-specific exposure misclassification are likely. Third, IH was ascertained at a single examination at 12 months. Most IH reach their maximum size by five months of age and remain visible at one year [3], but small or involuting lesions may have been missed, and the diagnostic categories of the 1960s predate the modern classification of vascular anomalies. Outcome misclassification unrelated to placental pathology would most likely attenuate associations. Fourth, differences in IH ascertainment across centres may not be fully captured by adjustment for site. Fifth, residual confounding is possible, including by maternal history of angioma, an established risk factor that was not recorded [41]. Finally, gestational age and birthweight were not adjusted for because they may mediate effects of placental pathology [26], so estimates represent total effects.</w:t>
      </w:r>
    </w:p>
    <w:p>
      <w:pPr>
        <w:keepNext/>
        <w:spacing w:after="0" w:before="240" w:line="480"/>
      </w:pPr>
      <w:r>
        <w:rPr>
          <w:rFonts w:ascii="Times New Roman" w:cs="Times New Roman" w:eastAsia="Times New Roman" w:hAnsi="Times New Roman"/>
          <w:b/>
          <w:bCs/>
          <w:i/>
          <w:iCs/>
          <w:sz w:val="24"/>
          <w:szCs w:val="24"/>
        </w:rPr>
        <w:t xml:space="preserve">4.6. Future directions</w:t>
      </w:r>
    </w:p>
    <w:p>
      <w:pPr>
        <w:spacing w:after="0" w:before="0" w:line="480"/>
        <w:ind w:firstLine="480"/>
      </w:pPr>
      <w:r>
        <w:rPr>
          <w:rFonts w:ascii="Times New Roman" w:cs="Times New Roman" w:eastAsia="Times New Roman" w:hAnsi="Times New Roman"/>
          <w:sz w:val="24"/>
          <w:szCs w:val="24"/>
        </w:rPr>
        <w:t xml:space="preserve">Future studies should examine placental pathology with central, blinded review using current Amsterdam definitions, duplicate reading of a calibration subset, and recorded pathologist identity. Linking placental lesions to cord-blood markers of foetal inflammation and hypoxia, and to serial dermatological examinations during the first months of life, would distinguish maternal from foetal effects and capture both the occurrence and growth of IH. Prespecified analyses of MVM and AI interaction, and formal mediation analyses through preterm birth and foetal growth, would clarify whether combined placental injury contributes to IH. Modifiable upstream determinants of placental injury, such as maternal diet, environmental exposures, and hypertensive disorders, are a research priority, although evidence linking these exposures to IH through placental pathology is currently lacking.</w:t>
      </w:r>
    </w:p>
    <w:p>
      <w:pPr>
        <w:keepNext/>
        <w:spacing w:after="0" w:before="240" w:line="480"/>
      </w:pPr>
      <w:r>
        <w:rPr>
          <w:rFonts w:ascii="Times New Roman" w:cs="Times New Roman" w:eastAsia="Times New Roman" w:hAnsi="Times New Roman"/>
          <w:b/>
          <w:bCs/>
          <w:i w:val="false"/>
          <w:iCs w:val="false"/>
          <w:sz w:val="24"/>
          <w:szCs w:val="24"/>
        </w:rPr>
        <w:t xml:space="preserve">5. Conclusion</w:t>
      </w:r>
    </w:p>
    <w:p>
      <w:pPr>
        <w:spacing w:after="0" w:before="0" w:line="480"/>
        <w:ind w:firstLine="480"/>
      </w:pPr>
      <w:r>
        <w:rPr>
          <w:rFonts w:ascii="Times New Roman" w:cs="Times New Roman" w:eastAsia="Times New Roman" w:hAnsi="Times New Roman"/>
          <w:sz w:val="24"/>
          <w:szCs w:val="24"/>
        </w:rPr>
        <w:t xml:space="preserve">In this large prospective cohort, neither placental MVM nor AI was associated with IH after accounting for study site, although IH risk was higher when both were present. Variation in placental diagnosis across centres strongly influenced the estimates, underscoring the importance of accounting for centre and pathologist in multicentre placental research. Larger studies with centralised placental review are needed to determine whether combined placental injury contributes to IH.</w:t>
      </w:r>
    </w:p>
    <w:p>
      <w:pPr>
        <w:keepNext/>
        <w:spacing w:after="0" w:before="240" w:line="480"/>
      </w:pPr>
      <w:r>
        <w:rPr>
          <w:rFonts w:ascii="Times New Roman" w:cs="Times New Roman" w:eastAsia="Times New Roman" w:hAnsi="Times New Roman"/>
          <w:b/>
          <w:bCs/>
          <w:i w:val="false"/>
          <w:iCs w:val="false"/>
          <w:sz w:val="24"/>
          <w:szCs w:val="24"/>
        </w:rPr>
        <w:t xml:space="preserve">CRediT authorship contribution statement</w:t>
      </w:r>
    </w:p>
    <w:p>
      <w:pPr>
        <w:spacing w:after="0" w:before="0" w:line="480"/>
      </w:pPr>
      <w:r>
        <w:rPr>
          <w:rFonts w:ascii="Times New Roman" w:cs="Times New Roman" w:eastAsia="Times New Roman" w:hAnsi="Times New Roman"/>
          <w:sz w:val="24"/>
          <w:szCs w:val="24"/>
        </w:rPr>
        <w:t xml:space="preserve">Jessica J. Wong: Conceptualization, Methodology, Formal analysis, Data curation, Visualization, Funding acquisition, Writing – original draft. Sunni L. Mumford: Methodology, Writing – review &amp; editing. Alexa A. Freedman: Data curation, Methodology, Writing – review &amp; editing. Linda M. Ernst: Methodology, Writing – review &amp; editing. Yajnaseni Chakraborti: Data curation, Methodology, Writing – review &amp; editing. David J. Margolis: Conceptualization, Writing – review &amp; editing. Ellen C. Caniglia: Methodology, Writing – review &amp; editing. Enrique F. Schisterman: Methodology, Writing – review &amp; editing. Stefanie N. Hinkle: Conceptualization, Methodology, Supervision, Writing – review &amp; editing. Ellen C. Francis: Conceptualization, Methodology, Supervision, Writing – review &amp; editing.</w:t>
      </w:r>
    </w:p>
    <w:p>
      <w:pPr>
        <w:keepNext/>
        <w:spacing w:after="0" w:before="240" w:line="480"/>
      </w:pPr>
      <w:r>
        <w:rPr>
          <w:rFonts w:ascii="Times New Roman" w:cs="Times New Roman" w:eastAsia="Times New Roman" w:hAnsi="Times New Roman"/>
          <w:b/>
          <w:bCs/>
          <w:i w:val="false"/>
          <w:iCs w:val="false"/>
          <w:sz w:val="24"/>
          <w:szCs w:val="24"/>
        </w:rPr>
        <w:t xml:space="preserve">Declaration of competing interest</w:t>
      </w:r>
    </w:p>
    <w:p>
      <w:pPr>
        <w:spacing w:after="0" w:before="0" w:line="480"/>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w:t>
      </w:r>
    </w:p>
    <w:p>
      <w:pPr>
        <w:keepNext/>
        <w:spacing w:after="0" w:before="240" w:line="480"/>
      </w:pPr>
      <w:r>
        <w:rPr>
          <w:rFonts w:ascii="Times New Roman" w:cs="Times New Roman" w:eastAsia="Times New Roman" w:hAnsi="Times New Roman"/>
          <w:b/>
          <w:bCs/>
          <w:i w:val="false"/>
          <w:iCs w:val="false"/>
          <w:sz w:val="24"/>
          <w:szCs w:val="24"/>
        </w:rPr>
        <w:t xml:space="preserve">Funding</w:t>
      </w:r>
    </w:p>
    <w:p>
      <w:pPr>
        <w:spacing w:after="0" w:before="0" w:line="480"/>
      </w:pPr>
      <w:r>
        <w:rPr>
          <w:rFonts w:ascii="Times New Roman" w:cs="Times New Roman" w:eastAsia="Times New Roman" w:hAnsi="Times New Roman"/>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0" w:before="240" w:line="480"/>
      </w:pPr>
      <w:r>
        <w:rPr>
          <w:rFonts w:ascii="Times New Roman" w:cs="Times New Roman" w:eastAsia="Times New Roman" w:hAnsi="Times New Roman"/>
          <w:b/>
          <w:bCs/>
          <w:i w:val="false"/>
          <w:iCs w:val="false"/>
          <w:sz w:val="24"/>
          <w:szCs w:val="24"/>
        </w:rPr>
        <w:t xml:space="preserve">Acknowledgements</w:t>
      </w:r>
    </w:p>
    <w:p>
      <w:pPr>
        <w:spacing w:after="0" w:before="0" w:line="480"/>
      </w:pPr>
      <w:r>
        <w:rPr>
          <w:rFonts w:ascii="Times New Roman" w:cs="Times New Roman" w:eastAsia="Times New Roman" w:hAnsi="Times New Roman"/>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(https://www.archives.gov/research/electronic-records/nih.html).</w:t>
      </w:r>
    </w:p>
    <w:p>
      <w:pPr>
        <w:keepNext/>
        <w:spacing w:after="0" w:before="240" w:line="480"/>
      </w:pPr>
      <w:r>
        <w:rPr>
          <w:rFonts w:ascii="Times New Roman" w:cs="Times New Roman" w:eastAsia="Times New Roman" w:hAnsi="Times New Roman"/>
          <w:b/>
          <w:bCs/>
          <w:i w:val="false"/>
          <w:iCs w:val="false"/>
          <w:sz w:val="24"/>
          <w:szCs w:val="24"/>
        </w:rPr>
        <w:t xml:space="preserve">Data availability</w:t>
      </w:r>
    </w:p>
    <w:p>
      <w:pPr>
        <w:spacing w:after="0" w:before="0" w:line="480"/>
      </w:pPr>
      <w:r>
        <w:rPr>
          <w:rFonts w:ascii="Times New Roman" w:cs="Times New Roman" w:eastAsia="Times New Roman" w:hAnsi="Times New Roman"/>
          <w:sz w:val="24"/>
          <w:szCs w:val="24"/>
        </w:rPr>
        <w:t xml:space="preserve">The Collaborative Perinatal Project data are publicly available through the US National Archives and Records Administration (Identifier: 606622). Analysis code is available from the corresponding author on request.</w:t>
      </w:r>
    </w:p>
    <w:p>
      <w:pPr>
        <w:keepNext/>
        <w:spacing w:after="0" w:before="240" w:line="480"/>
      </w:pPr>
      <w:r>
        <w:rPr>
          <w:rFonts w:ascii="Times New Roman" w:cs="Times New Roman" w:eastAsia="Times New Roman" w:hAnsi="Times New Roman"/>
          <w:b/>
          <w:bCs/>
          <w:i w:val="false"/>
          <w:iCs w:val="false"/>
          <w:sz w:val="24"/>
          <w:szCs w:val="24"/>
        </w:rPr>
        <w:t xml:space="preserve">Declaration of generative AI and AI-assisted technologies in the manuscript preparation process</w:t>
      </w:r>
    </w:p>
    <w:p>
      <w:pPr>
        <w:spacing w:after="0" w:before="0" w:line="480"/>
      </w:pPr>
      <w:r>
        <w:rPr>
          <w:rFonts w:ascii="Times New Roman" w:cs="Times New Roman" w:eastAsia="Times New Roman" w:hAnsi="Times New Roman"/>
          <w:sz w:val="24"/>
          <w:szCs w:val="24"/>
        </w:rPr>
        <w:t xml:space="preserve">During the preparation of this work the authors used Claude (Anthropic) to assist with statistical programming, checking of analyses, and drafting and language editing of the manuscript, and ChatGPT Deep Research (OpenAI) to assist with literature searching. After using these tools, the authors reviewed and edited the content as needed and take full responsibility for the content of the published article.</w:t>
      </w:r>
    </w:p>
    <w:p>
      <w:pPr>
        <w:keepNext/>
        <w:spacing w:after="0" w:before="240" w:line="480"/>
      </w:pPr>
      <w:r>
        <w:rPr>
          <w:rFonts w:ascii="Times New Roman" w:cs="Times New Roman" w:eastAsia="Times New Roman" w:hAnsi="Times New Roman"/>
          <w:b/>
          <w:bCs/>
          <w:i w:val="false"/>
          <w:iCs w:val="false"/>
          <w:sz w:val="24"/>
          <w:szCs w:val="24"/>
        </w:rPr>
        <w:t xml:space="preserve">References</w:t>
      </w:r>
    </w:p>
    <w:p>
      <w:pPr>
        <w:spacing w:after="0" w:before="0" w:line="360"/>
        <w:ind w:left="480" w:hanging="480"/>
      </w:pPr>
      <w:r>
        <w:rPr>
          <w:rFonts w:ascii="Times New Roman" w:cs="Times New Roman" w:eastAsia="Times New Roman" w:hAnsi="Times New Roman"/>
          <w:sz w:val="24"/>
          <w:szCs w:val="24"/>
        </w:rPr>
        <w:t xml:space="preserve">[1] Y. Sun, J. Zhao, Y. Meng, et al., The prevalence, complications, and risk factors for infantile hemangioma: a systematic review and meta-analysis, Int. J. Dermatol. 63 (2024) 737-746. https://doi.org/10.1111/ijd.17062</w:t>
      </w:r>
    </w:p>
    <w:p>
      <w:pPr>
        <w:spacing w:after="0" w:before="0" w:line="360"/>
        <w:ind w:left="480" w:hanging="480"/>
      </w:pPr>
      <w:r>
        <w:rPr>
          <w:rFonts w:ascii="Times New Roman" w:cs="Times New Roman" w:eastAsia="Times New Roman" w:hAnsi="Times New Roman"/>
          <w:sz w:val="24"/>
          <w:szCs w:val="24"/>
        </w:rPr>
        <w:t xml:space="preserve">[2] A. Holm, J.B. Mulliken, J. Bischoff, Infantile hemangioma: the common and enigmatic vascular tumor, J. Clin. Invest. 134 (2024) e172836. https://doi.org/10.1172/JCI172836</w:t>
      </w:r>
    </w:p>
    <w:p>
      <w:pPr>
        <w:spacing w:after="0" w:before="0" w:line="360"/>
        <w:ind w:left="480" w:hanging="480"/>
      </w:pPr>
      <w:r>
        <w:rPr>
          <w:rFonts w:ascii="Times New Roman" w:cs="Times New Roman" w:eastAsia="Times New Roman" w:hAnsi="Times New Roman"/>
          <w:sz w:val="24"/>
          <w:szCs w:val="24"/>
        </w:rPr>
        <w:t xml:space="preserve">[3] L.C. Chang, A.N. Haggstrom, B.A. Drolet, et al., Growth characteristics of infantile hemangiomas: implications for management, Pediatrics 122 (2008) 360-367. https://doi.org/10.1542/peds.2007-2767</w:t>
      </w:r>
    </w:p>
    <w:p>
      <w:pPr>
        <w:spacing w:after="0" w:before="0" w:line="360"/>
        <w:ind w:left="480" w:hanging="480"/>
      </w:pPr>
      <w:r>
        <w:rPr>
          <w:rFonts w:ascii="Times New Roman" w:cs="Times New Roman" w:eastAsia="Times New Roman" w:hAnsi="Times New Roman"/>
          <w:sz w:val="24"/>
          <w:szCs w:val="24"/>
        </w:rPr>
        <w:t xml:space="preserve">[4] C. Léauté-Labrèze, J.I. Harper, P.H. Hoeger, Infantile haemangioma, Lancet 390 (2017) 85-94. https://doi.org/10.1016/S0140-6736(16)00645-0</w:t>
      </w:r>
    </w:p>
    <w:p>
      <w:pPr>
        <w:spacing w:after="0" w:before="0" w:line="360"/>
        <w:ind w:left="480" w:hanging="480"/>
      </w:pPr>
      <w:r>
        <w:rPr>
          <w:rFonts w:ascii="Times New Roman" w:cs="Times New Roman" w:eastAsia="Times New Roman" w:hAnsi="Times New Roman"/>
          <w:sz w:val="24"/>
          <w:szCs w:val="24"/>
        </w:rPr>
        <w:t xml:space="preserve">[5] Y. Ding, J.Z. Zhang, S.R. Yu, F. Xiang, X.J. Kang, Risk factors for infantile hemangioma: a meta-analysis, World J. Pediatr. 16 (2020) 377-384. https://doi.org/10.1007/s12519-019-00327-2</w:t>
      </w:r>
    </w:p>
    <w:p>
      <w:pPr>
        <w:spacing w:after="0" w:before="0" w:line="360"/>
        <w:ind w:left="480" w:hanging="480"/>
      </w:pPr>
      <w:r>
        <w:rPr>
          <w:rFonts w:ascii="Times New Roman" w:cs="Times New Roman" w:eastAsia="Times New Roman" w:hAnsi="Times New Roman"/>
          <w:sz w:val="24"/>
          <w:szCs w:val="24"/>
        </w:rPr>
        <w:t xml:space="preserve">[6] A.N. Haggstrom, B.A. Drolet, E. Baselga, et al., Prospective study of infantile hemangiomas: demographic, prenatal, and perinatal characteristics, J. Pediatr. 150 (2007) 291-294. https://doi.org/10.1016/j.jpeds.2006.12.003</w:t>
      </w:r>
    </w:p>
    <w:p>
      <w:pPr>
        <w:spacing w:after="0" w:before="0" w:line="360"/>
        <w:ind w:left="480" w:hanging="480"/>
      </w:pPr>
      <w:r>
        <w:rPr>
          <w:rFonts w:ascii="Times New Roman" w:cs="Times New Roman" w:eastAsia="Times New Roman" w:hAnsi="Times New Roman"/>
          <w:sz w:val="24"/>
          <w:szCs w:val="24"/>
        </w:rPr>
        <w:t xml:space="preserve">[7] A. Munden, R. Butschek, W.L. Tom, et al., Prospective study of infantile haemangiomas: incidence, clinical characteristics and association with placental anomalies, Br. J. Dermatol. 170 (2014) 907-913. https://doi.org/10.1111/bjd.12804</w:t>
      </w:r>
    </w:p>
    <w:p>
      <w:pPr>
        <w:spacing w:after="0" w:before="0" w:line="360"/>
        <w:ind w:left="480" w:hanging="480"/>
      </w:pPr>
      <w:r>
        <w:rPr>
          <w:rFonts w:ascii="Times New Roman" w:cs="Times New Roman" w:eastAsia="Times New Roman" w:hAnsi="Times New Roman"/>
          <w:sz w:val="24"/>
          <w:szCs w:val="24"/>
        </w:rPr>
        <w:t xml:space="preserve">[8] J. Schoch, M. Hunjan, K. Anderson, et al., Temporal trends in prenatal risk factors for the development of infantile hemangiomas, Pediatr. Dermatol. 35 (2018) 787-791. https://doi.org/10.1111/pde.13659</w:t>
      </w:r>
    </w:p>
    <w:p>
      <w:pPr>
        <w:spacing w:after="0" w:before="0" w:line="360"/>
        <w:ind w:left="480" w:hanging="480"/>
      </w:pPr>
      <w:r>
        <w:rPr>
          <w:rFonts w:ascii="Times New Roman" w:cs="Times New Roman" w:eastAsia="Times New Roman" w:hAnsi="Times New Roman"/>
          <w:sz w:val="24"/>
          <w:szCs w:val="24"/>
        </w:rPr>
        <w:t xml:space="preserve">[9] P.E. North, M. Waner, A. Mizeracki, et al., A unique microvascular phenotype shared by juvenile hemangiomas and human placenta, Arch. Dermatol. 137 (2001) 559-570. https://doi.org/10.1001/archderm.137.5.559</w:t>
      </w:r>
    </w:p>
    <w:p>
      <w:pPr>
        <w:spacing w:after="0" w:before="0" w:line="360"/>
        <w:ind w:left="480" w:hanging="480"/>
      </w:pPr>
      <w:r>
        <w:rPr>
          <w:rFonts w:ascii="Times New Roman" w:cs="Times New Roman" w:eastAsia="Times New Roman" w:hAnsi="Times New Roman"/>
          <w:sz w:val="24"/>
          <w:szCs w:val="24"/>
        </w:rPr>
        <w:t xml:space="preserve">[10] C.M. Barnés, S. Huang, A. Kaipainen, et al., Evidence by molecular profiling for a placental origin of infantile hemangioma, Proc. Natl. Acad. Sci. U. S. A. 102 (2005) 19097-19102. https://doi.org/10.1073/pnas.0509579102</w:t>
      </w:r>
    </w:p>
    <w:p>
      <w:pPr>
        <w:spacing w:after="0" w:before="0" w:line="360"/>
        <w:ind w:left="480" w:hanging="480"/>
      </w:pPr>
      <w:r>
        <w:rPr>
          <w:rFonts w:ascii="Times New Roman" w:cs="Times New Roman" w:eastAsia="Times New Roman" w:hAnsi="Times New Roman"/>
          <w:sz w:val="24"/>
          <w:szCs w:val="24"/>
        </w:rPr>
        <w:t xml:space="preserve">[11] M.E. Kleinman, M.R. Greives, S.S. Churgin, et al., Hypoxia-induced mediators of stem/progenitor cell trafficking are increased in children with hemangioma, Arterioscler. Thromb. Vasc. Biol. 27 (2007) 2664-2670. https://doi.org/10.1161/ATVBAHA.107.150284</w:t>
      </w:r>
    </w:p>
    <w:p>
      <w:pPr>
        <w:spacing w:after="0" w:before="0" w:line="360"/>
        <w:ind w:left="480" w:hanging="480"/>
      </w:pPr>
      <w:r>
        <w:rPr>
          <w:rFonts w:ascii="Times New Roman" w:cs="Times New Roman" w:eastAsia="Times New Roman" w:hAnsi="Times New Roman"/>
          <w:sz w:val="24"/>
          <w:szCs w:val="24"/>
        </w:rPr>
        <w:t xml:space="preserve">[12] S. Harbi, R. Wang, M. Gregory, et al., Infantile hemangioma originates from a dysregulated but not fully transformed multipotent stem cell, Sci. Rep. 6 (2016) 35811. https://doi.org/10.1038/srep35811</w:t>
      </w:r>
    </w:p>
    <w:p>
      <w:pPr>
        <w:spacing w:after="0" w:before="0" w:line="360"/>
        <w:ind w:left="480" w:hanging="480"/>
      </w:pPr>
      <w:r>
        <w:rPr>
          <w:rFonts w:ascii="Times New Roman" w:cs="Times New Roman" w:eastAsia="Times New Roman" w:hAnsi="Times New Roman"/>
          <w:sz w:val="24"/>
          <w:szCs w:val="24"/>
        </w:rPr>
        <w:t xml:space="preserve">[13] V. Colonna, L. Resta, A. Napoli, E. Bonifazi, Placental hypoxia and neonatal haemangioma: clinical and histological observations, Br. J. Dermatol. 162 (2010) 208-209. https://doi.org/10.1111/j.1365-2133.2009.09493.x</w:t>
      </w:r>
    </w:p>
    <w:p>
      <w:pPr>
        <w:spacing w:after="0" w:before="0" w:line="360"/>
        <w:ind w:left="480" w:hanging="480"/>
      </w:pPr>
      <w:r>
        <w:rPr>
          <w:rFonts w:ascii="Times New Roman" w:cs="Times New Roman" w:eastAsia="Times New Roman" w:hAnsi="Times New Roman"/>
          <w:sz w:val="24"/>
          <w:szCs w:val="24"/>
        </w:rPr>
        <w:t xml:space="preserve">[14] B.A. Drolet, I.J. Frieden, Characteristics of infantile hemangiomas as clues to pathogenesis: does hypoxia connect the dots?, Arch. Dermatol. 146 (2010) 1295-1299. https://doi.org/10.1001/archdermatol.2010.1295</w:t>
      </w:r>
    </w:p>
    <w:p>
      <w:pPr>
        <w:spacing w:after="0" w:before="0" w:line="360"/>
        <w:ind w:left="480" w:hanging="480"/>
      </w:pPr>
      <w:r>
        <w:rPr>
          <w:rFonts w:ascii="Times New Roman" w:cs="Times New Roman" w:eastAsia="Times New Roman" w:hAnsi="Times New Roman"/>
          <w:sz w:val="24"/>
          <w:szCs w:val="24"/>
        </w:rPr>
        <w:t xml:space="preserve">[15] T.Y. Khong, E.E. Mooney, I. Ariel, et al., Sampling and definitions of placental lesions: Amsterdam Placental Workshop Group consensus statement, Arch. Pathol. Lab. Med. 140 (2016) 698-713. https://doi.org/10.5858/arpa.2015-0225-CC</w:t>
      </w:r>
    </w:p>
    <w:p>
      <w:pPr>
        <w:spacing w:after="0" w:before="0" w:line="360"/>
        <w:ind w:left="480" w:hanging="480"/>
      </w:pPr>
      <w:r>
        <w:rPr>
          <w:rFonts w:ascii="Times New Roman" w:cs="Times New Roman" w:eastAsia="Times New Roman" w:hAnsi="Times New Roman"/>
          <w:sz w:val="24"/>
          <w:szCs w:val="24"/>
        </w:rPr>
        <w:t xml:space="preserve">[16] R.W. Redline, S. Ravishankar, C.M. Bagby, S.T. Saab, S. Zarei, Four major patterns of placental injury: a stepwise guide for understanding and implementing the 2016 Amsterdam consensus, Mod. Pathol. 34 (2021) 1074-1092. https://doi.org/10.1038/s41379-021-00747-4</w:t>
      </w:r>
    </w:p>
    <w:p>
      <w:pPr>
        <w:spacing w:after="0" w:before="0" w:line="360"/>
        <w:ind w:left="480" w:hanging="480"/>
      </w:pPr>
      <w:r>
        <w:rPr>
          <w:rFonts w:ascii="Times New Roman" w:cs="Times New Roman" w:eastAsia="Times New Roman" w:hAnsi="Times New Roman"/>
          <w:sz w:val="24"/>
          <w:szCs w:val="24"/>
        </w:rPr>
        <w:t xml:space="preserve">[17] J.A. Goldstein, K. Gallagher, C. Beck, R. Kumar, A.D. Gernand, Maternal-fetal inflammation in the placenta and the developmental origins of health and disease, Front. Immunol. 11 (2020) 531543. https://doi.org/10.3389/fimmu.2020.531543</w:t>
      </w:r>
    </w:p>
    <w:p>
      <w:pPr>
        <w:spacing w:after="0" w:before="0" w:line="360"/>
        <w:ind w:left="480" w:hanging="480"/>
      </w:pPr>
      <w:r>
        <w:rPr>
          <w:rFonts w:ascii="Times New Roman" w:cs="Times New Roman" w:eastAsia="Times New Roman" w:hAnsi="Times New Roman"/>
          <w:sz w:val="24"/>
          <w:szCs w:val="24"/>
        </w:rPr>
        <w:t xml:space="preserve">[18] J.C. López Gutiérrez, L.F. Avila, G. Sosa, M. Patron, Placental anomalies in children with infantile hemangioma, Pediatr. Dermatol. 24 (2007) 353-355. https://doi.org/10.1111/j.1525-1470.2007.00450.x</w:t>
      </w:r>
    </w:p>
    <w:p>
      <w:pPr>
        <w:spacing w:after="0" w:before="0" w:line="360"/>
        <w:ind w:left="480" w:hanging="480"/>
      </w:pPr>
      <w:r>
        <w:rPr>
          <w:rFonts w:ascii="Times New Roman" w:cs="Times New Roman" w:eastAsia="Times New Roman" w:hAnsi="Times New Roman"/>
          <w:sz w:val="24"/>
          <w:szCs w:val="24"/>
        </w:rPr>
        <w:t xml:space="preserve">[19] M. Sirotkina, K. Douroudis, C.F. Wahlgren, M. Westgren, N. Papadogiannakis, Exploring the association between chorangioma and infantile haemangioma in singleton and multiple pregnancies: a case-control study in a Swedish tertiary centre, BMJ Open 7 (2017) e015539. https://doi.org/10.1136/bmjopen-2016-015539</w:t>
      </w:r>
    </w:p>
    <w:p>
      <w:pPr>
        <w:spacing w:after="0" w:before="0" w:line="360"/>
        <w:ind w:left="480" w:hanging="480"/>
      </w:pPr>
      <w:r>
        <w:rPr>
          <w:rFonts w:ascii="Times New Roman" w:cs="Times New Roman" w:eastAsia="Times New Roman" w:hAnsi="Times New Roman"/>
          <w:sz w:val="24"/>
          <w:szCs w:val="24"/>
        </w:rPr>
        <w:t xml:space="preserve">[20] R.W. Redline, O. Faye-Petersen, D. Heller, et al., Amniotic infection syndrome: nosology and reproducibility of placental reaction patterns, Pediatr. Dev. Pathol. 6 (2003) 435-448. https://doi.org/10.1007/s10024-003-7070-y</w:t>
      </w:r>
    </w:p>
    <w:p>
      <w:pPr>
        <w:spacing w:after="0" w:before="0" w:line="360"/>
        <w:ind w:left="480" w:hanging="480"/>
      </w:pPr>
      <w:r>
        <w:rPr>
          <w:rFonts w:ascii="Times New Roman" w:cs="Times New Roman" w:eastAsia="Times New Roman" w:hAnsi="Times New Roman"/>
          <w:sz w:val="24"/>
          <w:szCs w:val="24"/>
        </w:rPr>
        <w:t xml:space="preserve">[21] M.L. Rocha, T. Menter, S. Zekic Tomas, et al., Reproducibility of the Amsterdam consensus criteria for maternal vascular malperfusion (MVM): a multicenter evaluation of perinatal pathologists, J. Perinat. Med. 54 (2026) 811-815. https://doi.org/10.1515/jpm-2025-0518</w:t>
      </w:r>
    </w:p>
    <w:p>
      <w:pPr>
        <w:spacing w:after="0" w:before="0" w:line="360"/>
        <w:ind w:left="480" w:hanging="480"/>
      </w:pPr>
      <w:r>
        <w:rPr>
          <w:rFonts w:ascii="Times New Roman" w:cs="Times New Roman" w:eastAsia="Times New Roman" w:hAnsi="Times New Roman"/>
          <w:sz w:val="24"/>
          <w:szCs w:val="24"/>
        </w:rPr>
        <w:t xml:space="preserve">[22] A.A. Freedman, et al., Adverse pregnancy outcomes following the assassination of John F. Kennedy in 1963, Matern. Child Health J. (2021). https://doi.org/10.1007/s10995-021-03139-x [FLAG: add co-authors, volume, and pages]</w:t>
      </w:r>
    </w:p>
    <w:p>
      <w:pPr>
        <w:spacing w:after="0" w:before="0" w:line="360"/>
        <w:ind w:left="480" w:hanging="480"/>
      </w:pPr>
      <w:r>
        <w:rPr>
          <w:rFonts w:ascii="Times New Roman" w:cs="Times New Roman" w:eastAsia="Times New Roman" w:hAnsi="Times New Roman"/>
          <w:sz w:val="24"/>
          <w:szCs w:val="24"/>
        </w:rPr>
        <w:t xml:space="preserve">[23] J.B. Hardy, The Collaborative Perinatal Project: lessons and legacy, Ann. Epidemiol. 13 (2003) 303-311. https://doi.org/10.1016/s1047-2797(02)00479-9</w:t>
      </w:r>
    </w:p>
    <w:p>
      <w:pPr>
        <w:spacing w:after="0" w:before="0" w:line="360"/>
        <w:ind w:left="480" w:hanging="480"/>
      </w:pPr>
      <w:r>
        <w:rPr>
          <w:rFonts w:ascii="Times New Roman" w:cs="Times New Roman" w:eastAsia="Times New Roman" w:hAnsi="Times New Roman"/>
          <w:sz w:val="24"/>
          <w:szCs w:val="24"/>
        </w:rPr>
        <w:t xml:space="preserve">[24] M.A. Klebanoff, The Collaborative Perinatal Project: a 50-year retrospective, Paediatr. Perinat. Epidemiol. 23 (2009) 2-8. https://doi.org/10.1111/j.1365-3016.2008.00984.x</w:t>
      </w:r>
    </w:p>
    <w:p>
      <w:pPr>
        <w:spacing w:after="0" w:before="0" w:line="360"/>
        <w:ind w:left="480" w:hanging="480"/>
      </w:pPr>
      <w:r>
        <w:rPr>
          <w:rFonts w:ascii="Times New Roman" w:cs="Times New Roman" w:eastAsia="Times New Roman" w:hAnsi="Times New Roman"/>
          <w:sz w:val="24"/>
          <w:szCs w:val="24"/>
        </w:rPr>
        <w:t xml:space="preserve">[25] A.A. Freedman, G.E. Miller, A.D. Franklin, et al., Placental pathology and blood pressure at age 7: a longitudinal discordant twin analysis, Arterioscler. Thromb. Vasc. Biol. 45 (2025) 312-322. https://doi.org/10.1161/ATVBAHA.124.321666</w:t>
      </w:r>
    </w:p>
    <w:p>
      <w:pPr>
        <w:spacing w:after="0" w:before="0" w:line="360"/>
        <w:ind w:left="480" w:hanging="480"/>
      </w:pPr>
      <w:r>
        <w:rPr>
          <w:rFonts w:ascii="Times New Roman" w:cs="Times New Roman" w:eastAsia="Times New Roman" w:hAnsi="Times New Roman"/>
          <w:sz w:val="24"/>
          <w:szCs w:val="24"/>
        </w:rPr>
        <w:t xml:space="preserve">[26] E.F. Schisterman, S.R. Cole, R.W. Platt, Overadjustment bias and unnecessary adjustment in epidemiologic studies, Epidemiology 20 (2009) 488-495. https://doi.org/10.1097/EDE.0b013e3181a819a1</w:t>
      </w:r>
    </w:p>
    <w:p>
      <w:pPr>
        <w:spacing w:after="0" w:before="0" w:line="360"/>
        <w:ind w:left="480" w:hanging="480"/>
      </w:pPr>
      <w:r>
        <w:rPr>
          <w:rFonts w:ascii="Times New Roman" w:cs="Times New Roman" w:eastAsia="Times New Roman" w:hAnsi="Times New Roman"/>
          <w:sz w:val="24"/>
          <w:szCs w:val="24"/>
        </w:rPr>
        <w:t xml:space="preserve">[27] S. van Buuren, K. Groothuis-Oudshoorn, mice: multivariate imputation by chained equations in R, J. Stat. Softw. 45 (2011) 1-67. https://doi.org/10.18637/jss.v045.i03</w:t>
      </w:r>
    </w:p>
    <w:p>
      <w:pPr>
        <w:spacing w:after="0" w:before="0" w:line="360"/>
        <w:ind w:left="480" w:hanging="480"/>
      </w:pPr>
      <w:r>
        <w:rPr>
          <w:rFonts w:ascii="Times New Roman" w:cs="Times New Roman" w:eastAsia="Times New Roman" w:hAnsi="Times New Roman"/>
          <w:sz w:val="24"/>
          <w:szCs w:val="24"/>
        </w:rPr>
        <w:t xml:space="preserve">[28] D.B. Rubin, Multiple Imputation for Nonresponse in Surveys, John Wiley &amp; Sons, New York, 1987.</w:t>
      </w:r>
    </w:p>
    <w:p>
      <w:pPr>
        <w:spacing w:after="0" w:before="0" w:line="360"/>
        <w:ind w:left="480" w:hanging="480"/>
      </w:pPr>
      <w:r>
        <w:rPr>
          <w:rFonts w:ascii="Times New Roman" w:cs="Times New Roman" w:eastAsia="Times New Roman" w:hAnsi="Times New Roman"/>
          <w:sz w:val="24"/>
          <w:szCs w:val="24"/>
        </w:rPr>
        <w:t xml:space="preserve">[29] M.A. Hernán, S. Hernández-Díaz, J.M. Robins, A structural approach to selection bias, Epidemiology 15 (2004) 615-625. https://doi.org/10.1097/01.ede.0000135174.63482.43</w:t>
      </w:r>
    </w:p>
    <w:p>
      <w:pPr>
        <w:spacing w:after="0" w:before="0" w:line="360"/>
        <w:ind w:left="480" w:hanging="480"/>
      </w:pPr>
      <w:r>
        <w:rPr>
          <w:rFonts w:ascii="Times New Roman" w:cs="Times New Roman" w:eastAsia="Times New Roman" w:hAnsi="Times New Roman"/>
          <w:sz w:val="24"/>
          <w:szCs w:val="24"/>
        </w:rPr>
        <w:t xml:space="preserve">[30] S.R. Cole, M.A. Hernán, Constructing inverse probability weights for marginal structural models, Am. J. Epidemiol. 168 (2008) 656-664. https://doi.org/10.1093/aje/kwn164</w:t>
      </w:r>
    </w:p>
    <w:p>
      <w:pPr>
        <w:spacing w:after="0" w:before="0" w:line="360"/>
        <w:ind w:left="480" w:hanging="480"/>
      </w:pPr>
      <w:r>
        <w:rPr>
          <w:rFonts w:ascii="Times New Roman" w:cs="Times New Roman" w:eastAsia="Times New Roman" w:hAnsi="Times New Roman"/>
          <w:sz w:val="24"/>
          <w:szCs w:val="24"/>
        </w:rPr>
        <w:t xml:space="preserve">[31] G. Zou, A modified Poisson regression approach to prospective studies with binary data, Am. J. Epidemiol. 159 (2004) 702-706. https://doi.org/10.1093/aje/kwh090</w:t>
      </w:r>
    </w:p>
    <w:p>
      <w:pPr>
        <w:spacing w:after="0" w:before="0" w:line="360"/>
        <w:ind w:left="480" w:hanging="480"/>
      </w:pPr>
      <w:r>
        <w:rPr>
          <w:rFonts w:ascii="Times New Roman" w:cs="Times New Roman" w:eastAsia="Times New Roman" w:hAnsi="Times New Roman"/>
          <w:sz w:val="24"/>
          <w:szCs w:val="24"/>
        </w:rPr>
        <w:t xml:space="preserve">[32] M. Desai, M.D. Begg, A comparison of regression approaches for analyzing clustered data, Am. J. Public Health 98 (2008) 1425-1429. https://doi.org/10.2105/AJPH.2006.108233</w:t>
      </w:r>
    </w:p>
    <w:p>
      <w:pPr>
        <w:spacing w:after="0" w:before="0" w:line="360"/>
        <w:ind w:left="480" w:hanging="480"/>
      </w:pPr>
      <w:r>
        <w:rPr>
          <w:rFonts w:ascii="Times New Roman" w:cs="Times New Roman" w:eastAsia="Times New Roman" w:hAnsi="Times New Roman"/>
          <w:sz w:val="24"/>
          <w:szCs w:val="24"/>
        </w:rPr>
        <w:t xml:space="preserve">[33] M.J. Knol, T.J. VanderWeele, Recommendations for presenting analyses of effect modification and interaction, Int. J. Epidemiol. 41 (2012) 514-520. https://doi.org/10.1093/ije/dyr218</w:t>
      </w:r>
    </w:p>
    <w:p>
      <w:pPr>
        <w:spacing w:after="0" w:before="0" w:line="360"/>
        <w:ind w:left="480" w:hanging="480"/>
      </w:pPr>
      <w:r>
        <w:rPr>
          <w:rFonts w:ascii="Times New Roman" w:cs="Times New Roman" w:eastAsia="Times New Roman" w:hAnsi="Times New Roman"/>
          <w:sz w:val="24"/>
          <w:szCs w:val="24"/>
        </w:rPr>
        <w:t xml:space="preserve">[34] D.W. Hosmer, S. Lemeshow, Confidence interval estimation of interaction, Epidemiology 3 (1992) 452-456. https://doi.org/10.1097/00001648-199209000-00012</w:t>
      </w:r>
    </w:p>
    <w:p>
      <w:pPr>
        <w:spacing w:after="0" w:before="0" w:line="360"/>
        <w:ind w:left="480" w:hanging="480"/>
      </w:pPr>
      <w:r>
        <w:rPr>
          <w:rFonts w:ascii="Times New Roman" w:cs="Times New Roman" w:eastAsia="Times New Roman" w:hAnsi="Times New Roman"/>
          <w:sz w:val="24"/>
          <w:szCs w:val="24"/>
        </w:rPr>
        <w:t xml:space="preserve">[35] F. Gotsch, R. Romero, J.P. Kusanovic, et al., The fetal inflammatory response syndrome, Clin. Obstet. Gynecol. 50 (2007) 652-683. https://doi.org/10.1097/GRF.0b013e31811ebef6</w:t>
      </w:r>
    </w:p>
    <w:p>
      <w:pPr>
        <w:spacing w:after="0" w:before="0" w:line="360"/>
        <w:ind w:left="480" w:hanging="480"/>
      </w:pPr>
      <w:r>
        <w:rPr>
          <w:rFonts w:ascii="Times New Roman" w:cs="Times New Roman" w:eastAsia="Times New Roman" w:hAnsi="Times New Roman"/>
          <w:sz w:val="24"/>
          <w:szCs w:val="24"/>
        </w:rPr>
        <w:t xml:space="preserve">[36] J.J. Wong, Y. Chakraborti, E.C. Caniglia, et al., Association between hypertensive disorders of pregnancy and infantile vascular anomalies in the Collaborative Perinatal Project, AJE Adv. 2 (2026) uuag016. https://doi.org/10.1093/ajeadv/uuag016</w:t>
      </w:r>
    </w:p>
    <w:p>
      <w:pPr>
        <w:spacing w:after="0" w:before="0" w:line="360"/>
        <w:ind w:left="480" w:hanging="480"/>
      </w:pPr>
      <w:r>
        <w:rPr>
          <w:rFonts w:ascii="Times New Roman" w:cs="Times New Roman" w:eastAsia="Times New Roman" w:hAnsi="Times New Roman"/>
          <w:sz w:val="24"/>
          <w:szCs w:val="24"/>
        </w:rPr>
        <w:t xml:space="preserve">[37] A.A. Freedman, et al., Patterns of placental pathology associated with preeclampsia, Placenta (2023). PMID: 37336159 [FLAG: add co-authors, volume, pages, and DOI]</w:t>
      </w:r>
    </w:p>
    <w:p>
      <w:pPr>
        <w:spacing w:after="0" w:before="0" w:line="360"/>
        <w:ind w:left="480" w:hanging="480"/>
      </w:pPr>
      <w:r>
        <w:rPr>
          <w:rFonts w:ascii="Times New Roman" w:cs="Times New Roman" w:eastAsia="Times New Roman" w:hAnsi="Times New Roman"/>
          <w:sz w:val="24"/>
          <w:szCs w:val="24"/>
        </w:rPr>
        <w:t xml:space="preserve">[38] N. Auger, W.D. Fraser, L. Arbour, et al., Pre-eclampsia and risk of infantile haemangioma, Br. J. Dermatol. 176 (2017) 371-377. https://doi.org/10.1111/bjd.14958</w:t>
      </w:r>
    </w:p>
    <w:p>
      <w:pPr>
        <w:spacing w:after="0" w:before="0" w:line="360"/>
        <w:ind w:left="480" w:hanging="480"/>
      </w:pPr>
      <w:r>
        <w:rPr>
          <w:rFonts w:ascii="Times New Roman" w:cs="Times New Roman" w:eastAsia="Times New Roman" w:hAnsi="Times New Roman"/>
          <w:sz w:val="24"/>
          <w:szCs w:val="24"/>
        </w:rPr>
        <w:t xml:space="preserve">[39] K.M. Pittman, H.W. Losken, M.E. Kleinman, et al., No evidence for maternal-fetal microchimerism in infantile hemangioma: a molecular genetic investigation, J. Invest. Dermatol. 126 (2006) 2533-2538. https://doi.org/10.1038/sj.jid.5700516</w:t>
      </w:r>
    </w:p>
    <w:p>
      <w:pPr>
        <w:spacing w:after="0" w:before="0" w:line="360"/>
        <w:ind w:left="480" w:hanging="480"/>
      </w:pPr>
      <w:r>
        <w:rPr>
          <w:rFonts w:ascii="Times New Roman" w:cs="Times New Roman" w:eastAsia="Times New Roman" w:hAnsi="Times New Roman"/>
          <w:sz w:val="24"/>
          <w:szCs w:val="24"/>
        </w:rPr>
        <w:t xml:space="preserve">[40] E. Villamor-Martinez, et al., Chorioamnionitis as a risk factor for retinopathy of prematurity: an updated systematic review and meta-analysis, PLoS One 13 (2018) e0205838. https://doi.org/10.1371/journal.pone.0205838 [FLAG: add co-authors]</w:t>
      </w:r>
    </w:p>
    <w:p>
      <w:pPr>
        <w:spacing w:after="0" w:before="0" w:line="360"/>
        <w:ind w:left="480" w:hanging="480"/>
      </w:pPr>
      <w:r>
        <w:rPr>
          <w:rFonts w:ascii="Times New Roman" w:cs="Times New Roman" w:eastAsia="Times New Roman" w:hAnsi="Times New Roman"/>
          <w:sz w:val="24"/>
          <w:szCs w:val="24"/>
        </w:rPr>
        <w:t xml:space="preserve">[41] Z.C. Chiesa Fuxench, N. Mitra, J. Wong, O. Hoffstad, S. Hinkle, D.J. Margolis, Maternal history of angioma is associated with infantile hemangioma and port-wine stain in children: a population-based, cohort study of mother-child pairs from the United Kingdom, Arch. Dermatol. Res. 316 (2024) 506. https://doi.org/10.1007/s00403-024-03247-y</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Figure legend</w:t>
      </w:r>
    </w:p>
    <w:p>
      <w:pPr>
        <w:spacing w:after="0" w:before="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Flow of participants in the Collaborative Perinatal Project. AI, acute inflammation. IH, infantile haemangioma. MVM, maternal vascular malperfusion.</w:t>
      </w:r>
    </w:p>
    <w:p>
      <w:pPr>
        <w:sectPr>
          <w:footerReference w:type="default" r:id="rId6"/>
          <w:pgSz w:w="12240" w:h="15840" w:orient="portrait"/>
          <w:pgMar w:top="1440" w:right="1440" w:bottom="1440" w:left="1440" w:header="708" w:footer="708" w:gutter="0"/>
          <w:lnNumType w:countBy="1" w:restart="continuous"/>
          <w:pgNumType/>
          <w:docGrid w:linePitch="360"/>
        </w:sectPr>
      </w:pPr>
    </w:p>
    <w:p>
      <w:pPr>
        <w:keepNext/>
        <w:spacing w:after="120" w:before="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MVM</w:t>
            </w:r>
          </w:p>
          <w:p>
            <w:pPr>
              <w:spacing w:line="240"/>
              <w:jc w:val="center"/>
            </w:pPr>
            <w:r>
              <w:rPr>
                <w:rFonts w:ascii="Times New Roman" w:cs="Times New Roman" w:eastAsia="Times New Roman" w:hAnsi="Times New Roman"/>
                <w:b/>
                <w:bCs/>
                <w:sz w:val="16"/>
                <w:szCs w:val="16"/>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p>
            <w:pPr>
              <w:spacing w:line="240"/>
              <w:jc w:val="center"/>
            </w:pPr>
            <w:r>
              <w:rPr>
                <w:rFonts w:ascii="Times New Roman" w:cs="Times New Roman" w:eastAsia="Times New Roman" w:hAnsi="Times New Roman"/>
                <w:b/>
                <w:bCs/>
                <w:sz w:val="16"/>
                <w:szCs w:val="16"/>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AI</w:t>
            </w:r>
          </w:p>
          <w:p>
            <w:pPr>
              <w:spacing w:line="240"/>
              <w:jc w:val="center"/>
            </w:pPr>
            <w:r>
              <w:rPr>
                <w:rFonts w:ascii="Times New Roman" w:cs="Times New Roman" w:eastAsia="Times New Roman" w:hAnsi="Times New Roman"/>
                <w:b/>
                <w:bCs/>
                <w:sz w:val="16"/>
                <w:szCs w:val="16"/>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p>
            <w:pPr>
              <w:spacing w:line="240"/>
              <w:jc w:val="center"/>
            </w:pPr>
            <w:r>
              <w:rPr>
                <w:rFonts w:ascii="Times New Roman" w:cs="Times New Roman" w:eastAsia="Times New Roman" w:hAnsi="Times New Roman"/>
                <w:b/>
                <w:bCs/>
                <w:sz w:val="16"/>
                <w:szCs w:val="16"/>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r>
    </w:tbl>
    <w:p>
      <w:pPr>
        <w:spacing w:after="0" w:before="60" w:line="240"/>
      </w:pPr>
      <w:r>
        <w:rPr>
          <w:rFonts w:ascii="Times New Roman" w:cs="Times New Roman" w:eastAsia="Times New Roman" w:hAnsi="Times New Roman"/>
          <w:sz w:val="16"/>
          <w:szCs w:val="16"/>
        </w:rPr>
        <w:t xml:space="preserve">Values are % (n) unless stated otherwise. Percentages exclude missing values, and the number missing is shown for each characteristic. Perinatal characteristics are shown for description only and were not included in adjusted models.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Associations of placental maternal vascular malperfusion (MVM) and acute inflammation (AI) with definite infantile haemangioma (IH) by one year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Primaryᵃ</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Secondaryᵇ</w:t>
            </w:r>
          </w:p>
          <w:p>
            <w:pPr>
              <w:spacing w:line="240"/>
              <w:jc w:val="center"/>
            </w:pPr>
            <w:r>
              <w:rPr>
                <w:rFonts w:ascii="Times New Roman" w:cs="Times New Roman" w:eastAsia="Times New Roman" w:hAnsi="Times New Roman"/>
                <w:b/>
                <w:bCs/>
                <w:sz w:val="16"/>
                <w:szCs w:val="16"/>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point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(1.02,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compartment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1.04 (0.99, 1.09)</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(0.90, 1.37)</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(70/2,895)</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1.55 (1.20, 1.99)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(1.05, 1.78)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1.57 (1.22, 2.02)</w:t>
            </w:r>
          </w:p>
        </w:tc>
      </w:tr>
    </w:tbl>
    <w:p>
      <w:pPr>
        <w:spacing w:after="0" w:before="60" w:line="240"/>
      </w:pPr>
      <w:r>
        <w:rPr>
          <w:rFonts w:ascii="Times New Roman" w:cs="Times New Roman" w:eastAsia="Times New Roman" w:hAnsi="Times New Roman"/>
          <w:sz w:val="16"/>
          <w:szCs w:val="16"/>
        </w:rPr>
        <w:t xml:space="preserve">Relative risks (RR) and 95% confidence intervals (CI) from modified Poisson regression with generalised estimating equations clustered on mother, pooled across 20 imputed datasets. ᵃAdjusted for maternal age, pre-pregnancy body mass index, race and ethnicity, education, income, marital status, smoking, parity, pre-pregnancy diabetes, chronic hypertension, infant sex, and study site, with stabilised inverse probability of censoring weights. ᵇAs for the primary model but without study site. MVM score range 0 to 8. AI score is the number of involved placental compartments (0 to 7).</w:t>
      </w:r>
    </w:p>
    <w:p>
      <w:r>
        <w:br w:type="page"/>
      </w:r>
    </w:p>
    <w:p>
      <w:pPr>
        <w:keepNext/>
        <w:spacing w:after="120" w:before="0" w:line="276"/>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2026-10-03T01:44:54.887Z</dcterms:created>
  <dcterms:modified xsi:type="dcterms:W3CDTF">2026-10-03T01:44:54.887Z</dcterms:modified>
</cp:coreProperties>
</file>

<file path=docProps/custom.xml><?xml version="1.0" encoding="utf-8"?>
<Properties xmlns="http://schemas.openxmlformats.org/officeDocument/2006/custom-properties" xmlns:vt="http://schemas.openxmlformats.org/officeDocument/2006/docPropsVTypes"/>
</file>