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3,559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42</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92.6% of placentas were examined by one pathologist [22], versus the other 11 centres, and (6) the broader outcome that included suspect IH.</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one year,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with Boston contributing 41.4% (290/700) of IH cases (Supplementary Table S2).</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the primary model, neither MVM (RR 1.14, 95% CI 0.96, 1.35) nor AI (RR 1.14, 95% CI 0.96, 1.35) was associated with IH, and neither was the MVM score (per point, RR 1.05, 95% CI 0.97, 1.15) or the AI score (per involved compartment, RR 1.03, 95% CI 0.98, 1.08). In the mutually adjusted model, estimates were unchanged (MVM RR 1.14, 95% CI 0.96, 1.35, and AI RR 1.13, 95% CI 0.96, 1.34) (Supplementary Table S4). In the secondary model without study site, estimates were larger (MVM RR 1.25, 95% CI 1.07, 1.46, and AI RR 1.20, 95% CI 1.02, 1.42).</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MVM nor AI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Sensitivity analyses</w:t>
      </w:r>
    </w:p>
    <w:p>
      <w:pPr>
        <w:spacing w:after="0" w:before="0" w:line="480"/>
        <w:ind w:firstLine="480"/>
      </w:pPr>
      <w:r>
        <w:rPr>
          <w:rFonts w:ascii="Times New Roman" w:cs="Times New Roman" w:eastAsia="Times New Roman" w:hAnsi="Times New Roman"/>
          <w:sz w:val="24"/>
          <w:szCs w:val="24"/>
        </w:rPr>
        <w:t xml:space="preserve">IH risk did not increase with lesion severity. Compared with no MVM, the RR was 1.15 (95% CI 0.96, 1.37) for low-grade and 1.09 (95% CI 0.77, 1.55) for high-grade MVM. Compared with no AI, the RR was 1.26 (95% CI 1.02, 1.55) for low-stage and 1.00 (95% CI 0.78, 1.28) for high-stage AI (Supplementary Table S6). By maternal or foetal involvement, RRs were 1.07 (95% CI 0.81, 1.43) for a maternal response only, 1.12 (95% CI 0.86, 1.47) for a foetal response only, and 1.20 (95% CI 0.94, 1.55) for both (Supplementary Table S7).</w:t>
      </w:r>
    </w:p>
    <w:p>
      <w:pPr>
        <w:spacing w:after="0" w:before="0" w:line="480"/>
        <w:ind w:firstLine="480"/>
      </w:pPr>
      <w:r>
        <w:rPr>
          <w:rFonts w:ascii="Times New Roman" w:cs="Times New Roman" w:eastAsia="Times New Roman" w:hAnsi="Times New Roman"/>
          <w:sz w:val="24"/>
          <w:szCs w:val="24"/>
        </w:rPr>
        <w:t xml:space="preserve">Adjustment for the 11 covariates changed estimates little, and almost all of the difference between crude and primary estimates arose when study site was added (Supplementary Table S3). Results were similar when study site was modelled as a random effect (MVM RR 1.16, 95% CI 0.98, 1.37, and AI RR 1.15, 95% CI 0.97, 1.36) (Supplementary Table S9). 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Foetal-only inflammation, which involved the umbilical vein in 87.8% of cases, had the largest crude estimate of any AI category (RR 1.67, 95% CI 1.29, 2.18), which fell to 1.12 after adjustment for study site. Of the 2,224 placentas with foetal-only inflammation among infants examined at one year, 61.1% (1,359) were from Boston, where this pattern was recorded in 14.1% of placentas compared with 0.9% to 8.1% at the other centres.</w:t>
      </w:r>
    </w:p>
    <w:p>
      <w:pPr>
        <w:spacing w:after="0" w:before="0" w:line="480"/>
        <w:ind w:firstLine="480"/>
      </w:pPr>
      <w:r>
        <w:rPr>
          <w:rFonts w:ascii="Times New Roman" w:cs="Times New Roman" w:eastAsia="Times New Roman" w:hAnsi="Times New Roman"/>
          <w:sz w:val="24"/>
          <w:szCs w:val="24"/>
        </w:rPr>
        <w:t xml:space="preserve">When suspect IH was included in the outcome (930 cases), estimates were similar (MVM RR 1.13, 95% CI 0.98, 1.30, and AI RR 1.10, 95% CI 0.95, 1.27) (Supplementary Table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a small increase in risk, but they make RRs larger than about 1.35 unlikely for either lesion pattern. IH risk did not increase with MVM grade or AI stage. IH risk was higher when both MVM and AI were present, although the interaction estimate was imprecise. The larger estimates observed without adjustment for study site reflected differences between centres rather than associations within centres.</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because the associations seen without adjustment for study site arose largely from comparisons between centres.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[21,35], and that agreement for AI, although high for its presence, is lower for staging [20,35].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where one pathologist examined 92.6% of placentas [22], recorded AI more often than other centres, including foetal inflammation without a maternal response, a pattern that should be uncommon because a foetal response ordinarily follows a maternal one [20,36]. This suggests a lower diagnostic threshold, and shows that consistency within a single reader does not ensure comparability with other readers. Multicentre placental studies should therefore account for centre and, where possible, reader.</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[37]. This may reflect that clinically defined hypertensive disorders are not consistently accompanied by MVM [38]. The findings also agree with evidence that the association between pre-eclampsia and IH in administrative data largely reflects greater surveillance of infants with longer neonatal stays [39].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[40].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[17,36].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[41],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[42].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Whether IH is associated with perinatal infection, which often underlies acute placental inflammation, also warrants study.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where possible,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R.W. Redline, T. Vik, A. Heerema-McKenney, et al., Interobserver reliability for identifying specific patterns of placental injury as defined by the Amsterdam classification, Arch. Pathol. Lab. Med. 146 (2022) 372-378. https://doi.org/10.5858/arpa.2020-0753-OA</w:t>
      </w:r>
    </w:p>
    <w:p>
      <w:pPr>
        <w:spacing w:after="0" w:before="0" w:line="360"/>
        <w:ind w:left="480" w:hanging="480"/>
      </w:pPr>
      <w:r>
        <w:rPr>
          <w:rFonts w:ascii="Times New Roman" w:cs="Times New Roman" w:eastAsia="Times New Roman" w:hAnsi="Times New Roman"/>
          <w:sz w:val="24"/>
          <w:szCs w:val="24"/>
        </w:rPr>
        <w:t xml:space="preserve">[36]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[37]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[38]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[39]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[40]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[41]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[42]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2026-10-03T01:55:04.700Z</dcterms:created>
  <dcterms:modified xsi:type="dcterms:W3CDTF">2026-10-03T01:55:04.703Z</dcterms:modified>
</cp:coreProperties>
</file>

<file path=docProps/custom.xml><?xml version="1.0" encoding="utf-8"?>
<Properties xmlns="http://schemas.openxmlformats.org/officeDocument/2006/custom-properties" xmlns:vt="http://schemas.openxmlformats.org/officeDocument/2006/docPropsVTypes"/>
</file>