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 stratified results are reported. Boston recorded more AI and far more foetal-only inflammation, which is discussed as a likely reading convention.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and 3.5, Discussion 4.2, Table S8</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but not feasible. Only 78 mothers were discordant for both IH and MVM (73 for AI), and estimates were too imprecise to be informative, so this analysis is not reported.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Not reported</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2026-10-03T01:38:11.803Z</dcterms:created>
  <dcterms:modified xsi:type="dcterms:W3CDTF">2026-10-03T01:38:11.803Z</dcterms:modified>
</cp:coreProperties>
</file>

<file path=docProps/custom.xml><?xml version="1.0" encoding="utf-8"?>
<Properties xmlns="http://schemas.openxmlformats.org/officeDocument/2006/custom-properties" xmlns:vt="http://schemas.openxmlformats.org/officeDocument/2006/docPropsVTypes"/>
</file>