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480"/>
        <w:jc w:val="center"/>
      </w:pPr>
      <w:r>
        <w:rPr>
          <w:rFonts w:ascii="Calibri" w:cs="Calibri" w:eastAsia="Calibri" w:hAnsi="Calibri"/>
          <w:b/>
          <w:bCs/>
          <w:sz w:val="28"/>
          <w:szCs w:val="28"/>
        </w:rPr>
        <w:t xml:space="preserve">Placental Pathology and Infantile Haemangioma in the Collaborative Perinatal Project</w:t>
      </w:r>
    </w:p>
    <w:p>
      <w:pPr>
        <w:spacing w:after="240" w:before="0" w:line="480"/>
        <w:jc w:val="center"/>
      </w:pPr>
      <w:r>
        <w:rPr>
          <w:rFonts w:ascii="Calibri" w:cs="Calibri" w:eastAsia="Calibri" w:hAnsi="Calibri"/>
          <w:sz w:val="24"/>
          <w:szCs w:val="24"/>
        </w:rPr>
        <w:t xml:space="preserve">Jessica J. Wong</w:t>
      </w:r>
      <w:r>
        <w:rPr>
          <w:rFonts w:ascii="Calibri" w:cs="Calibri" w:eastAsia="Calibri" w:hAnsi="Calibri"/>
          <w:sz w:val="24"/>
          <w:szCs w:val="24"/>
          <w:vertAlign w:val="superscript"/>
        </w:rPr>
        <w:t xml:space="preserve">1</w:t>
      </w:r>
      <w:r>
        <w:rPr>
          <w:rFonts w:ascii="Calibri" w:cs="Calibri" w:eastAsia="Calibri" w:hAnsi="Calibri"/>
          <w:sz w:val="24"/>
          <w:szCs w:val="24"/>
        </w:rPr>
        <w:t xml:space="preserve">, </w:t>
      </w:r>
      <w:r>
        <w:rPr>
          <w:rFonts w:ascii="Calibri" w:cs="Calibri" w:eastAsia="Calibri" w:hAnsi="Calibri"/>
          <w:sz w:val="24"/>
          <w:szCs w:val="24"/>
        </w:rPr>
        <w:t xml:space="preserve">Sunni L. Mumford</w:t>
      </w:r>
      <w:r>
        <w:rPr>
          <w:rFonts w:ascii="Calibri" w:cs="Calibri" w:eastAsia="Calibri" w:hAnsi="Calibri"/>
          <w:sz w:val="24"/>
          <w:szCs w:val="24"/>
          <w:vertAlign w:val="superscript"/>
        </w:rPr>
        <w:t xml:space="preserve">1,2</w:t>
      </w:r>
      <w:r>
        <w:rPr>
          <w:rFonts w:ascii="Calibri" w:cs="Calibri" w:eastAsia="Calibri" w:hAnsi="Calibri"/>
          <w:sz w:val="24"/>
          <w:szCs w:val="24"/>
        </w:rPr>
        <w:t xml:space="preserve">, </w:t>
      </w:r>
      <w:r>
        <w:rPr>
          <w:rFonts w:ascii="Calibri" w:cs="Calibri" w:eastAsia="Calibri" w:hAnsi="Calibri"/>
          <w:sz w:val="24"/>
          <w:szCs w:val="24"/>
        </w:rPr>
        <w:t xml:space="preserve">Alexa A. Freedman</w:t>
      </w:r>
      <w:r>
        <w:rPr>
          <w:rFonts w:ascii="Calibri" w:cs="Calibri" w:eastAsia="Calibri" w:hAnsi="Calibri"/>
          <w:sz w:val="24"/>
          <w:szCs w:val="24"/>
          <w:vertAlign w:val="superscript"/>
        </w:rPr>
        <w:t xml:space="preserve">3</w:t>
      </w:r>
      <w:r>
        <w:rPr>
          <w:rFonts w:ascii="Calibri" w:cs="Calibri" w:eastAsia="Calibri" w:hAnsi="Calibri"/>
          <w:sz w:val="24"/>
          <w:szCs w:val="24"/>
        </w:rPr>
        <w:t xml:space="preserve">, </w:t>
      </w:r>
      <w:r>
        <w:rPr>
          <w:rFonts w:ascii="Calibri" w:cs="Calibri" w:eastAsia="Calibri" w:hAnsi="Calibri"/>
          <w:sz w:val="24"/>
          <w:szCs w:val="24"/>
        </w:rPr>
        <w:t xml:space="preserve">Linda M. Ernst</w:t>
      </w:r>
      <w:r>
        <w:rPr>
          <w:rFonts w:ascii="Calibri" w:cs="Calibri" w:eastAsia="Calibri" w:hAnsi="Calibri"/>
          <w:sz w:val="24"/>
          <w:szCs w:val="24"/>
          <w:vertAlign w:val="superscript"/>
        </w:rPr>
        <w:t xml:space="preserve">4,5</w:t>
      </w:r>
      <w:r>
        <w:rPr>
          <w:rFonts w:ascii="Calibri" w:cs="Calibri" w:eastAsia="Calibri" w:hAnsi="Calibri"/>
          <w:sz w:val="24"/>
          <w:szCs w:val="24"/>
        </w:rPr>
        <w:t xml:space="preserve">, </w:t>
      </w:r>
      <w:r>
        <w:rPr>
          <w:rFonts w:ascii="Calibri" w:cs="Calibri" w:eastAsia="Calibri" w:hAnsi="Calibri"/>
          <w:sz w:val="24"/>
          <w:szCs w:val="24"/>
        </w:rPr>
        <w:t xml:space="preserve">Yajnaseni Chakraborti</w:t>
      </w:r>
      <w:r>
        <w:rPr>
          <w:rFonts w:ascii="Calibri" w:cs="Calibri" w:eastAsia="Calibri" w:hAnsi="Calibri"/>
          <w:sz w:val="24"/>
          <w:szCs w:val="24"/>
          <w:vertAlign w:val="superscript"/>
        </w:rPr>
        <w:t xml:space="preserve">1</w:t>
      </w:r>
      <w:r>
        <w:rPr>
          <w:rFonts w:ascii="Calibri" w:cs="Calibri" w:eastAsia="Calibri" w:hAnsi="Calibri"/>
          <w:sz w:val="24"/>
          <w:szCs w:val="24"/>
        </w:rPr>
        <w:t xml:space="preserve">, </w:t>
      </w:r>
      <w:r>
        <w:rPr>
          <w:rFonts w:ascii="Calibri" w:cs="Calibri" w:eastAsia="Calibri" w:hAnsi="Calibri"/>
          <w:sz w:val="24"/>
          <w:szCs w:val="24"/>
        </w:rPr>
        <w:t xml:space="preserve">David J. Margolis</w:t>
      </w:r>
      <w:r>
        <w:rPr>
          <w:rFonts w:ascii="Calibri" w:cs="Calibri" w:eastAsia="Calibri" w:hAnsi="Calibri"/>
          <w:sz w:val="24"/>
          <w:szCs w:val="24"/>
          <w:vertAlign w:val="superscript"/>
        </w:rPr>
        <w:t xml:space="preserve">1,6</w:t>
      </w:r>
      <w:r>
        <w:rPr>
          <w:rFonts w:ascii="Calibri" w:cs="Calibri" w:eastAsia="Calibri" w:hAnsi="Calibri"/>
          <w:sz w:val="24"/>
          <w:szCs w:val="24"/>
        </w:rPr>
        <w:t xml:space="preserve">, </w:t>
      </w:r>
      <w:r>
        <w:rPr>
          <w:rFonts w:ascii="Calibri" w:cs="Calibri" w:eastAsia="Calibri" w:hAnsi="Calibri"/>
          <w:sz w:val="24"/>
          <w:szCs w:val="24"/>
        </w:rPr>
        <w:t xml:space="preserve">Ellen C. Caniglia</w:t>
      </w:r>
      <w:r>
        <w:rPr>
          <w:rFonts w:ascii="Calibri" w:cs="Calibri" w:eastAsia="Calibri" w:hAnsi="Calibri"/>
          <w:sz w:val="24"/>
          <w:szCs w:val="24"/>
          <w:vertAlign w:val="superscript"/>
        </w:rPr>
        <w:t xml:space="preserve">1,2</w:t>
      </w:r>
      <w:r>
        <w:rPr>
          <w:rFonts w:ascii="Calibri" w:cs="Calibri" w:eastAsia="Calibri" w:hAnsi="Calibri"/>
          <w:sz w:val="24"/>
          <w:szCs w:val="24"/>
        </w:rPr>
        <w:t xml:space="preserve">, </w:t>
      </w:r>
      <w:r>
        <w:rPr>
          <w:rFonts w:ascii="Calibri" w:cs="Calibri" w:eastAsia="Calibri" w:hAnsi="Calibri"/>
          <w:sz w:val="24"/>
          <w:szCs w:val="24"/>
        </w:rPr>
        <w:t xml:space="preserve">Enrique F. Schisterman</w:t>
      </w:r>
      <w:r>
        <w:rPr>
          <w:rFonts w:ascii="Calibri" w:cs="Calibri" w:eastAsia="Calibri" w:hAnsi="Calibri"/>
          <w:sz w:val="24"/>
          <w:szCs w:val="24"/>
          <w:vertAlign w:val="superscript"/>
        </w:rPr>
        <w:t xml:space="preserve">1,2</w:t>
      </w:r>
      <w:r>
        <w:rPr>
          <w:rFonts w:ascii="Calibri" w:cs="Calibri" w:eastAsia="Calibri" w:hAnsi="Calibri"/>
          <w:sz w:val="24"/>
          <w:szCs w:val="24"/>
        </w:rPr>
        <w:t xml:space="preserve">, </w:t>
      </w:r>
      <w:r>
        <w:rPr>
          <w:rFonts w:ascii="Calibri" w:cs="Calibri" w:eastAsia="Calibri" w:hAnsi="Calibri"/>
          <w:sz w:val="24"/>
          <w:szCs w:val="24"/>
        </w:rPr>
        <w:t xml:space="preserve">Stefanie N. Hinkle</w:t>
      </w:r>
      <w:r>
        <w:rPr>
          <w:rFonts w:ascii="Calibri" w:cs="Calibri" w:eastAsia="Calibri" w:hAnsi="Calibri"/>
          <w:sz w:val="24"/>
          <w:szCs w:val="24"/>
          <w:vertAlign w:val="superscript"/>
        </w:rPr>
        <w:t xml:space="preserve">1,2*</w:t>
      </w:r>
      <w:r>
        <w:rPr>
          <w:rFonts w:ascii="Calibri" w:cs="Calibri" w:eastAsia="Calibri" w:hAnsi="Calibri"/>
          <w:sz w:val="24"/>
          <w:szCs w:val="24"/>
        </w:rPr>
        <w:t xml:space="preserve">, and </w:t>
      </w:r>
      <w:r>
        <w:rPr>
          <w:rFonts w:ascii="Calibri" w:cs="Calibri" w:eastAsia="Calibri" w:hAnsi="Calibri"/>
          <w:sz w:val="24"/>
          <w:szCs w:val="24"/>
        </w:rPr>
        <w:t xml:space="preserve">Ellen C. Francis</w:t>
      </w:r>
      <w:r>
        <w:rPr>
          <w:rFonts w:ascii="Calibri" w:cs="Calibri" w:eastAsia="Calibri" w:hAnsi="Calibri"/>
          <w:sz w:val="24"/>
          <w:szCs w:val="24"/>
          <w:vertAlign w:val="superscript"/>
        </w:rPr>
        <w:t xml:space="preserve">7*</w:t>
      </w:r>
    </w:p>
    <w:p>
      <w:pPr>
        <w:spacing w:after="0" w:before="0" w:line="480"/>
      </w:pPr>
      <w:r>
        <w:rPr>
          <w:rFonts w:ascii="Calibri" w:cs="Calibri" w:eastAsia="Calibri" w:hAnsi="Calibri"/>
          <w:sz w:val="24"/>
          <w:szCs w:val="24"/>
          <w:vertAlign w:val="superscript"/>
        </w:rPr>
        <w:t xml:space="preserve">1</w:t>
      </w:r>
      <w:r>
        <w:rPr>
          <w:rFonts w:ascii="Calibri" w:cs="Calibri" w:eastAsia="Calibri" w:hAnsi="Calibri"/>
          <w:sz w:val="24"/>
          <w:szCs w:val="24"/>
        </w:rPr>
        <w:t xml:space="preserve">Department of Biostatistics, Epidemiology, and Informatics, Perelman School of Medicine, University of Pennsylvania, Philadelphia, PA, USA</w:t>
      </w:r>
    </w:p>
    <w:p>
      <w:pPr>
        <w:spacing w:after="0" w:before="0" w:line="480"/>
      </w:pPr>
      <w:r>
        <w:rPr>
          <w:rFonts w:ascii="Calibri" w:cs="Calibri" w:eastAsia="Calibri" w:hAnsi="Calibri"/>
          <w:sz w:val="24"/>
          <w:szCs w:val="24"/>
          <w:vertAlign w:val="superscript"/>
        </w:rPr>
        <w:t xml:space="preserve">2</w:t>
      </w:r>
      <w:r>
        <w:rPr>
          <w:rFonts w:ascii="Calibri" w:cs="Calibri" w:eastAsia="Calibri" w:hAnsi="Calibri"/>
          <w:sz w:val="24"/>
          <w:szCs w:val="24"/>
        </w:rPr>
        <w:t xml:space="preserve">Department of Obstetrics and Gynecology, Perelman School of Medicine, University of Pennsylvania, Philadelphia, PA, USA</w:t>
      </w:r>
    </w:p>
    <w:p>
      <w:pPr>
        <w:spacing w:after="0" w:before="0" w:line="480"/>
      </w:pPr>
      <w:r>
        <w:rPr>
          <w:rFonts w:ascii="Calibri" w:cs="Calibri" w:eastAsia="Calibri" w:hAnsi="Calibri"/>
          <w:sz w:val="24"/>
          <w:szCs w:val="24"/>
          <w:vertAlign w:val="superscript"/>
        </w:rPr>
        <w:t xml:space="preserve">3</w:t>
      </w:r>
      <w:r>
        <w:rPr>
          <w:rFonts w:ascii="Calibri" w:cs="Calibri" w:eastAsia="Calibri" w:hAnsi="Calibri"/>
          <w:sz w:val="24"/>
          <w:szCs w:val="24"/>
        </w:rPr>
        <w:t xml:space="preserve">Department of Preventive Medicine, Northwestern University Feinberg School of Medicine, Chicago, IL, USA</w:t>
      </w:r>
    </w:p>
    <w:p>
      <w:pPr>
        <w:spacing w:after="0" w:before="0" w:line="480"/>
      </w:pPr>
      <w:r>
        <w:rPr>
          <w:rFonts w:ascii="Calibri" w:cs="Calibri" w:eastAsia="Calibri" w:hAnsi="Calibri"/>
          <w:sz w:val="24"/>
          <w:szCs w:val="24"/>
          <w:vertAlign w:val="superscript"/>
        </w:rPr>
        <w:t xml:space="preserve">4</w:t>
      </w:r>
      <w:r>
        <w:rPr>
          <w:rFonts w:ascii="Calibri" w:cs="Calibri" w:eastAsia="Calibri" w:hAnsi="Calibri"/>
          <w:sz w:val="24"/>
          <w:szCs w:val="24"/>
        </w:rPr>
        <w:t xml:space="preserve">Endeavor Health, Evanston, IL, USA</w:t>
      </w:r>
    </w:p>
    <w:p>
      <w:pPr>
        <w:spacing w:after="0" w:before="0" w:line="480"/>
      </w:pPr>
      <w:r>
        <w:rPr>
          <w:rFonts w:ascii="Calibri" w:cs="Calibri" w:eastAsia="Calibri" w:hAnsi="Calibri"/>
          <w:sz w:val="24"/>
          <w:szCs w:val="24"/>
          <w:vertAlign w:val="superscript"/>
        </w:rPr>
        <w:t xml:space="preserve">5</w:t>
      </w:r>
      <w:r>
        <w:rPr>
          <w:rFonts w:ascii="Calibri" w:cs="Calibri" w:eastAsia="Calibri" w:hAnsi="Calibri"/>
          <w:sz w:val="24"/>
          <w:szCs w:val="24"/>
        </w:rPr>
        <w:t xml:space="preserve">Department of Pathology and Laboratory Medicine, Endeavor Health and Department of Pathology, University of Chicago Pritzker School of Medicine, Chicago, IL, USA</w:t>
      </w:r>
    </w:p>
    <w:p>
      <w:pPr>
        <w:spacing w:after="0" w:before="0" w:line="480"/>
      </w:pPr>
      <w:r>
        <w:rPr>
          <w:rFonts w:ascii="Calibri" w:cs="Calibri" w:eastAsia="Calibri" w:hAnsi="Calibri"/>
          <w:sz w:val="24"/>
          <w:szCs w:val="24"/>
          <w:vertAlign w:val="superscript"/>
        </w:rPr>
        <w:t xml:space="preserve">6</w:t>
      </w:r>
      <w:r>
        <w:rPr>
          <w:rFonts w:ascii="Calibri" w:cs="Calibri" w:eastAsia="Calibri" w:hAnsi="Calibri"/>
          <w:sz w:val="24"/>
          <w:szCs w:val="24"/>
        </w:rPr>
        <w:t xml:space="preserve">Department of Dermatology, Perelman School of Medicine, University of Pennsylvania, Philadelphia, PA, USA</w:t>
      </w:r>
    </w:p>
    <w:p>
      <w:pPr>
        <w:spacing w:after="0" w:before="0" w:line="480"/>
      </w:pPr>
      <w:r>
        <w:rPr>
          <w:rFonts w:ascii="Calibri" w:cs="Calibri" w:eastAsia="Calibri" w:hAnsi="Calibri"/>
          <w:sz w:val="24"/>
          <w:szCs w:val="24"/>
          <w:vertAlign w:val="superscript"/>
        </w:rPr>
        <w:t xml:space="preserve">7</w:t>
      </w:r>
      <w:r>
        <w:rPr>
          <w:rFonts w:ascii="Calibri" w:cs="Calibri" w:eastAsia="Calibri" w:hAnsi="Calibri"/>
          <w:sz w:val="24"/>
          <w:szCs w:val="24"/>
        </w:rPr>
        <w:t xml:space="preserve">Department of Biostatistics and Epidemiology, Rutgers School of Public Health, Rutgers University, Piscataway, NJ, USA</w:t>
      </w:r>
    </w:p>
    <w:p>
      <w:pPr>
        <w:spacing w:after="0" w:before="0" w:line="480"/>
      </w:pPr>
      <w:r>
        <w:rPr>
          <w:rFonts w:ascii="Calibri" w:cs="Calibri" w:eastAsia="Calibri" w:hAnsi="Calibri"/>
          <w:sz w:val="24"/>
          <w:szCs w:val="24"/>
          <w:vertAlign w:val="superscript"/>
        </w:rPr>
        <w:t xml:space="preserve">*</w:t>
      </w:r>
      <w:r>
        <w:rPr>
          <w:rFonts w:ascii="Calibri" w:cs="Calibri" w:eastAsia="Calibri" w:hAnsi="Calibri"/>
          <w:sz w:val="24"/>
          <w:szCs w:val="24"/>
        </w:rPr>
        <w:t xml:space="preserve">Co-senior authors</w:t>
      </w:r>
    </w:p>
    <w:p>
      <w:pPr>
        <w:spacing w:after="240" w:before="240" w:line="480"/>
      </w:pPr>
      <w:r>
        <w:rPr>
          <w:rFonts w:ascii="Calibri" w:cs="Calibri" w:eastAsia="Calibri" w:hAnsi="Calibri"/>
          <w:b/>
          <w:bCs/>
          <w:sz w:val="24"/>
          <w:szCs w:val="24"/>
        </w:rPr>
        <w:t xml:space="preserve">Correspondence: </w:t>
      </w:r>
      <w:r>
        <w:rPr>
          <w:rFonts w:ascii="Calibri" w:cs="Calibri" w:eastAsia="Calibri" w:hAnsi="Calibri"/>
          <w:sz w:val="24"/>
          <w:szCs w:val="24"/>
        </w:rPr>
        <w:t xml:space="preserve">Stefanie N. Hinkle, Department of Biostatistics, Epidemiology, and Informatics, Perelman School of Medicine, University of Pennsylvania, Philadelphia, PA, USA. Email: stefanie.hinkle@pennmedicine.upenn.edu</w:t>
      </w:r>
    </w:p>
    <w:p>
      <w:pPr>
        <w:spacing w:after="240" w:before="0" w:line="480"/>
      </w:pPr>
      <w:r>
        <w:rPr>
          <w:rFonts w:ascii="Calibri" w:cs="Calibri" w:eastAsia="Calibri" w:hAnsi="Calibri"/>
          <w:b/>
          <w:bCs/>
          <w:sz w:val="24"/>
          <w:szCs w:val="24"/>
        </w:rPr>
        <w:t xml:space="preserve">Running title: </w:t>
      </w:r>
      <w:r>
        <w:rPr>
          <w:rFonts w:ascii="Calibri" w:cs="Calibri" w:eastAsia="Calibri" w:hAnsi="Calibri"/>
          <w:sz w:val="24"/>
          <w:szCs w:val="24"/>
        </w:rPr>
        <w:t xml:space="preserve">Placental pathology and haemangioma</w:t>
      </w:r>
    </w:p>
    <w:p>
      <w:pPr>
        <w:spacing w:after="240" w:before="0" w:line="480"/>
      </w:pPr>
      <w:r>
        <w:rPr>
          <w:rFonts w:ascii="Calibri" w:cs="Calibri" w:eastAsia="Calibri" w:hAnsi="Calibri"/>
          <w:b/>
          <w:bCs/>
          <w:sz w:val="24"/>
          <w:szCs w:val="24"/>
        </w:rPr>
        <w:t xml:space="preserve">Word count: </w:t>
      </w:r>
      <w:r>
        <w:rPr>
          <w:rFonts w:ascii="Calibri" w:cs="Calibri" w:eastAsia="Calibri" w:hAnsi="Calibri"/>
          <w:sz w:val="24"/>
          <w:szCs w:val="24"/>
        </w:rPr>
        <w:t xml:space="preserve">2,997 (main text), 292 (abstract)</w:t>
      </w:r>
    </w:p>
    <w:p>
      <w:pPr>
        <w:spacing w:after="240" w:before="0" w:line="480"/>
      </w:pPr>
      <w:r>
        <w:rPr>
          <w:rFonts w:ascii="Calibri" w:cs="Calibri" w:eastAsia="Calibri" w:hAnsi="Calibri"/>
          <w:b/>
          <w:bCs/>
          <w:sz w:val="24"/>
          <w:szCs w:val="24"/>
        </w:rPr>
        <w:t xml:space="preserve">Tables and figures: </w:t>
      </w:r>
      <w:r>
        <w:rPr>
          <w:rFonts w:ascii="Calibri" w:cs="Calibri" w:eastAsia="Calibri" w:hAnsi="Calibri"/>
          <w:sz w:val="24"/>
          <w:szCs w:val="24"/>
        </w:rPr>
        <w:t xml:space="preserve">2 tables and 1 figure. Supporting Information: 12 eTables.</w:t>
      </w:r>
    </w:p>
    <w:p>
      <w:r>
        <w:br w:type="page"/>
      </w:r>
    </w:p>
    <w:p>
      <w:pPr>
        <w:keepNext/>
        <w:spacing w:after="120" w:before="240" w:line="480"/>
      </w:pPr>
      <w:r>
        <w:rPr>
          <w:rFonts w:ascii="Calibri" w:cs="Calibri" w:eastAsia="Calibri" w:hAnsi="Calibri"/>
          <w:b/>
          <w:bCs/>
          <w:i w:val="false"/>
          <w:iCs w:val="false"/>
          <w:sz w:val="24"/>
          <w:szCs w:val="24"/>
        </w:rPr>
        <w:t xml:space="preserve">ABSTRACT</w:t>
      </w:r>
    </w:p>
    <w:p>
      <w:pPr>
        <w:spacing w:after="240" w:before="0" w:line="480"/>
      </w:pPr>
      <w:r>
        <w:rPr>
          <w:rFonts w:ascii="Calibri" w:cs="Calibri" w:eastAsia="Calibri" w:hAnsi="Calibri"/>
          <w:b/>
          <w:bCs/>
          <w:sz w:val="24"/>
          <w:szCs w:val="24"/>
        </w:rPr>
        <w:t xml:space="preserve">Background: </w:t>
      </w:r>
      <w:r>
        <w:rPr>
          <w:rFonts w:ascii="Calibri" w:cs="Calibri" w:eastAsia="Calibri" w:hAnsi="Calibri"/>
          <w:sz w:val="24"/>
          <w:szCs w:val="24"/>
        </w:rPr>
        <w:t xml:space="preserve">Infantile haemangioma (IH), the most common tumour of infancy, shares a distinctive molecular phenotype with the placenta, yet its developmental origins remain poorly understood. Clinical conditions of placental origin (e.g., pre-eclampsia and foetal growth restriction) have pointed towards a placental contribution, but their associations with IH have been inconsistent, warranting investigation of the upstream patterns of placental injury.</w:t>
      </w:r>
    </w:p>
    <w:p>
      <w:pPr>
        <w:spacing w:after="240" w:before="0" w:line="480"/>
      </w:pPr>
      <w:r>
        <w:rPr>
          <w:rFonts w:ascii="Calibri" w:cs="Calibri" w:eastAsia="Calibri" w:hAnsi="Calibri"/>
          <w:b/>
          <w:bCs/>
          <w:sz w:val="24"/>
          <w:szCs w:val="24"/>
        </w:rPr>
        <w:t xml:space="preserve">Objectives: </w:t>
      </w:r>
      <w:r>
        <w:rPr>
          <w:rFonts w:ascii="Calibri" w:cs="Calibri" w:eastAsia="Calibri" w:hAnsi="Calibri"/>
          <w:sz w:val="24"/>
          <w:szCs w:val="24"/>
        </w:rPr>
        <w:t xml:space="preserve">To examine associations of (a) maternal vascular malperfusion (MVM), (b) acute inflammation (AI), and (c) co-occurring MVM and AI with the development of IH by 12 months of age.</w:t>
      </w:r>
    </w:p>
    <w:p>
      <w:pPr>
        <w:spacing w:after="240" w:before="0" w:line="480"/>
      </w:pPr>
      <w:r>
        <w:rPr>
          <w:rFonts w:ascii="Calibri" w:cs="Calibri" w:eastAsia="Calibri" w:hAnsi="Calibri"/>
          <w:b/>
          <w:bCs/>
          <w:sz w:val="24"/>
          <w:szCs w:val="24"/>
        </w:rPr>
        <w:t xml:space="preserve">Methods: </w:t>
      </w:r>
      <w:r>
        <w:rPr>
          <w:rFonts w:ascii="Calibri" w:cs="Calibri" w:eastAsia="Calibri" w:hAnsi="Calibri"/>
          <w:sz w:val="24"/>
          <w:szCs w:val="24"/>
        </w:rPr>
        <w:t xml:space="preserve">This prospective cohort included 45,268 singleton pregnancies enrolled from 1959 to 1965 at 12 US centres of the Collaborative Perinatal Project, with standardised placental histopathology. Exposures were MVM and AI, each as present or absent and as a score, and their joint occurrence (neither, MVM only, AI only, or both). Study paediatricians ascertained IH at 12 months. Relative risks (RR) were estimated with modified Poisson regression adjusted for 11 covariates and study site, with inverse probability of censoring weights and multiple imputation.</w:t>
      </w:r>
    </w:p>
    <w:p>
      <w:pPr>
        <w:spacing w:after="240" w:before="0" w:line="480"/>
      </w:pPr>
      <w:r>
        <w:rPr>
          <w:rFonts w:ascii="Calibri" w:cs="Calibri" w:eastAsia="Calibri" w:hAnsi="Calibri"/>
          <w:b/>
          <w:bCs/>
          <w:sz w:val="24"/>
          <w:szCs w:val="24"/>
        </w:rPr>
        <w:t xml:space="preserve">Results: </w:t>
      </w:r>
      <w:r>
        <w:rPr>
          <w:rFonts w:ascii="Calibri" w:cs="Calibri" w:eastAsia="Calibri" w:hAnsi="Calibri"/>
          <w:sz w:val="24"/>
          <w:szCs w:val="24"/>
        </w:rPr>
        <w:t xml:space="preserve">Of 45,268 placentas, 29.0% showed MVM, 22.5% showed AI, and 7.9% showed both. Of 40,700 infants examined at 12 months, 1.7% (700) had IH. IH risk was 2.4% when placentas showed both MVM and AI and 1.6% when they showed neither (RR 1.37, 95% confidence interval [CI] 1.05, 1.79, E-value 2.08). IH risk was 2.0% with and 1.6% without MVM (RR 1.14, 95% CI 0.96, 1.35), and 2.0% with and 1.6% without AI (RR 1.14, 95% CI 0.96, 1.35).</w:t>
      </w:r>
    </w:p>
    <w:p>
      <w:pPr>
        <w:spacing w:after="240" w:before="0" w:line="480"/>
      </w:pPr>
      <w:r>
        <w:rPr>
          <w:rFonts w:ascii="Calibri" w:cs="Calibri" w:eastAsia="Calibri" w:hAnsi="Calibri"/>
          <w:b/>
          <w:bCs/>
          <w:sz w:val="24"/>
          <w:szCs w:val="24"/>
        </w:rPr>
        <w:t xml:space="preserve">Conclusions: </w:t>
      </w:r>
      <w:r>
        <w:rPr>
          <w:rFonts w:ascii="Calibri" w:cs="Calibri" w:eastAsia="Calibri" w:hAnsi="Calibri"/>
          <w:sz w:val="24"/>
          <w:szCs w:val="24"/>
        </w:rPr>
        <w:t xml:space="preserve">Infants whose placentas showed both MVM and AI had a higher risk of IH, suggesting that chronic malperfusion and acute inflammation may act together in IH development. Either pattern alone was associated with a modestly higher but imprecise risk.</w:t>
      </w:r>
    </w:p>
    <w:p>
      <w:pPr>
        <w:spacing w:after="240" w:before="0" w:line="480"/>
      </w:pPr>
      <w:r>
        <w:rPr>
          <w:rFonts w:ascii="Calibri" w:cs="Calibri" w:eastAsia="Calibri" w:hAnsi="Calibri"/>
          <w:b/>
          <w:bCs/>
          <w:sz w:val="24"/>
          <w:szCs w:val="24"/>
        </w:rPr>
        <w:t xml:space="preserve">Keywords: </w:t>
      </w:r>
      <w:r>
        <w:rPr>
          <w:rFonts w:ascii="Calibri" w:cs="Calibri" w:eastAsia="Calibri" w:hAnsi="Calibri"/>
          <w:sz w:val="24"/>
          <w:szCs w:val="24"/>
        </w:rPr>
        <w:t xml:space="preserve">Hemangioma; Placenta Diseases; Placental Insufficiency; Chorioamnionitis; Infant; Cohort Studies</w:t>
      </w:r>
    </w:p>
    <w:p>
      <w:pPr>
        <w:spacing w:after="240" w:before="0" w:line="480"/>
      </w:pPr>
      <w:r>
        <w:rPr>
          <w:rFonts w:ascii="Calibri" w:cs="Calibri" w:eastAsia="Calibri" w:hAnsi="Calibri"/>
          <w:b/>
          <w:bCs/>
          <w:sz w:val="24"/>
          <w:szCs w:val="24"/>
        </w:rPr>
        <w:t xml:space="preserve">Word count: </w:t>
      </w:r>
      <w:r>
        <w:rPr>
          <w:rFonts w:ascii="Calibri" w:cs="Calibri" w:eastAsia="Calibri" w:hAnsi="Calibri"/>
          <w:sz w:val="24"/>
          <w:szCs w:val="24"/>
        </w:rPr>
        <w:t xml:space="preserve">2,997 (main text)</w:t>
      </w:r>
    </w:p>
    <w:p>
      <w:r>
        <w:br w:type="page"/>
      </w:r>
    </w:p>
    <w:p>
      <w:pPr>
        <w:keepNext/>
        <w:spacing w:after="120" w:before="240" w:line="480"/>
      </w:pPr>
      <w:r>
        <w:rPr>
          <w:rFonts w:ascii="Calibri" w:cs="Calibri" w:eastAsia="Calibri" w:hAnsi="Calibri"/>
          <w:b/>
          <w:bCs/>
          <w:i w:val="false"/>
          <w:iCs w:val="false"/>
          <w:sz w:val="24"/>
          <w:szCs w:val="24"/>
        </w:rPr>
        <w:t xml:space="preserve">SYNOPSIS</w:t>
      </w:r>
    </w:p>
    <w:p>
      <w:pPr>
        <w:spacing w:after="240" w:before="0" w:line="480"/>
      </w:pPr>
      <w:r>
        <w:rPr>
          <w:rFonts w:ascii="Calibri" w:cs="Calibri" w:eastAsia="Calibri" w:hAnsi="Calibri"/>
          <w:b/>
          <w:bCs/>
          <w:sz w:val="24"/>
          <w:szCs w:val="24"/>
        </w:rPr>
        <w:t xml:space="preserve">Study question: </w:t>
      </w:r>
      <w:r>
        <w:rPr>
          <w:rFonts w:ascii="Calibri" w:cs="Calibri" w:eastAsia="Calibri" w:hAnsi="Calibri"/>
          <w:sz w:val="24"/>
          <w:szCs w:val="24"/>
        </w:rPr>
        <w:t xml:space="preserve">Are placental maternal vascular malperfusion and acute inflammation, alone or together, associated with infantile haemangioma?</w:t>
      </w:r>
    </w:p>
    <w:p>
      <w:pPr>
        <w:spacing w:after="240" w:before="0" w:line="480"/>
      </w:pPr>
      <w:r>
        <w:rPr>
          <w:rFonts w:ascii="Calibri" w:cs="Calibri" w:eastAsia="Calibri" w:hAnsi="Calibri"/>
          <w:b/>
          <w:bCs/>
          <w:sz w:val="24"/>
          <w:szCs w:val="24"/>
        </w:rPr>
        <w:t xml:space="preserve">What's already known: </w:t>
      </w:r>
      <w:r>
        <w:rPr>
          <w:rFonts w:ascii="Calibri" w:cs="Calibri" w:eastAsia="Calibri" w:hAnsi="Calibri"/>
          <w:sz w:val="24"/>
          <w:szCs w:val="24"/>
        </w:rPr>
        <w:t xml:space="preserve">Infantile haemangioma shares molecular features with the placenta, and small clinical studies have reported more placental abnormalities in affected pregnancies, without adjustment for confounding.</w:t>
      </w:r>
    </w:p>
    <w:p>
      <w:pPr>
        <w:spacing w:after="240" w:before="0" w:line="480"/>
      </w:pPr>
      <w:r>
        <w:rPr>
          <w:rFonts w:ascii="Calibri" w:cs="Calibri" w:eastAsia="Calibri" w:hAnsi="Calibri"/>
          <w:b/>
          <w:bCs/>
          <w:sz w:val="24"/>
          <w:szCs w:val="24"/>
        </w:rPr>
        <w:t xml:space="preserve">What this study adds: </w:t>
      </w:r>
      <w:r>
        <w:rPr>
          <w:rFonts w:ascii="Calibri" w:cs="Calibri" w:eastAsia="Calibri" w:hAnsi="Calibri"/>
          <w:sz w:val="24"/>
          <w:szCs w:val="24"/>
        </w:rPr>
        <w:t xml:space="preserve">In 40,700 infants with systematic placental histopathology, infants whose placentas showed both malperfusion and inflammation had a 37% higher risk of haemangioma than infants whose placentas showed neither. Either pattern alone was associated with a modestly higher but imprecise risk.</w:t>
      </w:r>
    </w:p>
    <w:p>
      <w:pPr>
        <w:keepNext/>
        <w:spacing w:after="120" w:before="240" w:line="480"/>
      </w:pPr>
      <w:r>
        <w:rPr>
          <w:rFonts w:ascii="Calibri" w:cs="Calibri" w:eastAsia="Calibri" w:hAnsi="Calibri"/>
          <w:b/>
          <w:bCs/>
          <w:i w:val="false"/>
          <w:iCs w:val="false"/>
          <w:sz w:val="24"/>
          <w:szCs w:val="24"/>
        </w:rPr>
        <w:t xml:space="preserve">SOCIAL MEDIA QUOTE</w:t>
      </w:r>
    </w:p>
    <w:p>
      <w:pPr>
        <w:spacing w:after="240" w:before="0" w:line="480"/>
      </w:pPr>
      <w:r>
        <w:rPr>
          <w:rFonts w:ascii="Calibri" w:cs="Calibri" w:eastAsia="Calibri" w:hAnsi="Calibri"/>
          <w:sz w:val="24"/>
          <w:szCs w:val="24"/>
        </w:rPr>
        <w:t xml:space="preserve">In 40,700 infants from the Collaborative Perinatal Project, placentas showing both malperfusion and acute inflammation were linked to a 37% higher risk of infantile haemangioma. Either pattern alone showed smaller, imprecise increases.</w:t>
      </w:r>
    </w:p>
    <w:p>
      <w:r>
        <w:br w:type="page"/>
      </w:r>
    </w:p>
    <w:p>
      <w:pPr>
        <w:keepNext/>
        <w:spacing w:after="120" w:before="240" w:line="480"/>
      </w:pPr>
      <w:r>
        <w:rPr>
          <w:rFonts w:ascii="Calibri" w:cs="Calibri" w:eastAsia="Calibri" w:hAnsi="Calibri"/>
          <w:b/>
          <w:bCs/>
          <w:i w:val="false"/>
          <w:iCs w:val="false"/>
          <w:sz w:val="24"/>
          <w:szCs w:val="24"/>
        </w:rPr>
        <w:t xml:space="preserve">1 | BACKGROUND</w:t>
      </w:r>
    </w:p>
    <w:p>
      <w:pPr>
        <w:spacing w:after="240" w:before="0" w:line="480"/>
      </w:pPr>
      <w:r>
        <w:rPr>
          <w:rFonts w:ascii="Calibri" w:cs="Calibri" w:eastAsia="Calibri" w:hAnsi="Calibri"/>
          <w:sz w:val="24"/>
          <w:szCs w:val="24"/>
        </w:rPr>
        <w:t xml:space="preserve">Infantile haemangioma (IH) is the most common tumour of infancy, affecting approximately 1.5% to 4.4% of infants</w:t>
      </w:r>
      <w:r>
        <w:rPr>
          <w:rFonts w:ascii="Calibri" w:cs="Calibri" w:eastAsia="Calibri" w:hAnsi="Calibri"/>
          <w:sz w:val="24"/>
          <w:szCs w:val="24"/>
        </w:rPr>
        <w:t xml:space="preserve">.</w:t>
      </w:r>
      <w:r>
        <w:rPr>
          <w:rFonts w:ascii="Calibri" w:cs="Calibri" w:eastAsia="Calibri" w:hAnsi="Calibri"/>
          <w:sz w:val="24"/>
          <w:szCs w:val="24"/>
          <w:vertAlign w:val="superscript"/>
        </w:rPr>
        <w:t xml:space="preserve">1</w:t>
      </w:r>
      <w:r>
        <w:rPr>
          <w:rFonts w:ascii="Calibri" w:cs="Calibri" w:eastAsia="Calibri" w:hAnsi="Calibri"/>
          <w:sz w:val="24"/>
          <w:szCs w:val="24"/>
        </w:rPr>
        <w:t xml:space="preserve"> IH typically presents as a raised, bright-red lesion in the first weeks after birth, most often on the head, neck, or trunk, and proliferates rapidly during the first months of life before slowly resolving</w:t>
      </w:r>
      <w:r>
        <w:rPr>
          <w:rFonts w:ascii="Calibri" w:cs="Calibri" w:eastAsia="Calibri" w:hAnsi="Calibri"/>
          <w:sz w:val="24"/>
          <w:szCs w:val="24"/>
        </w:rPr>
        <w:t xml:space="preserve">.</w:t>
      </w:r>
      <w:r>
        <w:rPr>
          <w:rFonts w:ascii="Calibri" w:cs="Calibri" w:eastAsia="Calibri" w:hAnsi="Calibri"/>
          <w:sz w:val="24"/>
          <w:szCs w:val="24"/>
          <w:vertAlign w:val="superscript"/>
        </w:rPr>
        <w:t xml:space="preserve">2,3</w:t>
      </w:r>
      <w:r>
        <w:rPr>
          <w:rFonts w:ascii="Calibri" w:cs="Calibri" w:eastAsia="Calibri" w:hAnsi="Calibri"/>
          <w:sz w:val="24"/>
          <w:szCs w:val="24"/>
        </w:rPr>
        <w:t xml:space="preserve"> Lesions on the face, airway, or other anatomically sensitive sites can cause visual obstruction, airway compromise, ulceration, and lasting disfigurement</w:t>
      </w:r>
      <w:r>
        <w:rPr>
          <w:rFonts w:ascii="Calibri" w:cs="Calibri" w:eastAsia="Calibri" w:hAnsi="Calibri"/>
          <w:sz w:val="24"/>
          <w:szCs w:val="24"/>
        </w:rPr>
        <w:t xml:space="preserve">.</w:t>
      </w:r>
      <w:r>
        <w:rPr>
          <w:rFonts w:ascii="Calibri" w:cs="Calibri" w:eastAsia="Calibri" w:hAnsi="Calibri"/>
          <w:sz w:val="24"/>
          <w:szCs w:val="24"/>
          <w:vertAlign w:val="superscript"/>
        </w:rPr>
        <w:t xml:space="preserve">2,4</w:t>
      </w:r>
      <w:r>
        <w:rPr>
          <w:rFonts w:ascii="Calibri" w:cs="Calibri" w:eastAsia="Calibri" w:hAnsi="Calibri"/>
          <w:sz w:val="24"/>
          <w:szCs w:val="24"/>
        </w:rPr>
        <w:t xml:space="preserve"> Despite this burden, the aetiology of IH remains incompletely understood. The most consistently reported risk factors (e.g., female sex, preterm birth, low birthweight, and multiple gestation), together with more variably reported factors (e.g., placenta praevia and pre-eclampsia), point to the maternal-placental-foetal unit as a plausible origin</w:t>
      </w:r>
      <w:r>
        <w:rPr>
          <w:rFonts w:ascii="Calibri" w:cs="Calibri" w:eastAsia="Calibri" w:hAnsi="Calibri"/>
          <w:sz w:val="24"/>
          <w:szCs w:val="24"/>
        </w:rPr>
        <w:t xml:space="preserve">.</w:t>
      </w:r>
      <w:r>
        <w:rPr>
          <w:rFonts w:ascii="Calibri" w:cs="Calibri" w:eastAsia="Calibri" w:hAnsi="Calibri"/>
          <w:sz w:val="24"/>
          <w:szCs w:val="24"/>
          <w:vertAlign w:val="superscript"/>
        </w:rPr>
        <w:t xml:space="preserve">5-8</w:t>
      </w:r>
    </w:p>
    <w:p>
      <w:pPr>
        <w:spacing w:after="240" w:before="0" w:line="480"/>
      </w:pPr>
      <w:r>
        <w:rPr>
          <w:rFonts w:ascii="Calibri" w:cs="Calibri" w:eastAsia="Calibri" w:hAnsi="Calibri"/>
          <w:sz w:val="24"/>
          <w:szCs w:val="24"/>
        </w:rPr>
        <w:t xml:space="preserve">Several lines of evidence link IH to the placenta. IH endothelial cells share a distinctive immunophenotype with placental microvessels, including expression of glucose transporter 1, merosin, Lewis Y antigen, and FcγRII</w:t>
      </w:r>
      <w:r>
        <w:rPr>
          <w:rFonts w:ascii="Calibri" w:cs="Calibri" w:eastAsia="Calibri" w:hAnsi="Calibri"/>
          <w:sz w:val="24"/>
          <w:szCs w:val="24"/>
        </w:rPr>
        <w:t xml:space="preserve">,</w:t>
      </w:r>
      <w:r>
        <w:rPr>
          <w:rFonts w:ascii="Calibri" w:cs="Calibri" w:eastAsia="Calibri" w:hAnsi="Calibri"/>
          <w:sz w:val="24"/>
          <w:szCs w:val="24"/>
          <w:vertAlign w:val="superscript"/>
        </w:rPr>
        <w:t xml:space="preserve">9</w:t>
      </w:r>
      <w:r>
        <w:rPr>
          <w:rFonts w:ascii="Calibri" w:cs="Calibri" w:eastAsia="Calibri" w:hAnsi="Calibri"/>
          <w:sz w:val="24"/>
          <w:szCs w:val="24"/>
        </w:rPr>
        <w:t xml:space="preserve"> and IH and placenta show closely related transcriptional profiles</w:t>
      </w:r>
      <w:r>
        <w:rPr>
          <w:rFonts w:ascii="Calibri" w:cs="Calibri" w:eastAsia="Calibri" w:hAnsi="Calibri"/>
          <w:sz w:val="24"/>
          <w:szCs w:val="24"/>
        </w:rPr>
        <w:t xml:space="preserve">.</w:t>
      </w:r>
      <w:r>
        <w:rPr>
          <w:rFonts w:ascii="Calibri" w:cs="Calibri" w:eastAsia="Calibri" w:hAnsi="Calibri"/>
          <w:sz w:val="24"/>
          <w:szCs w:val="24"/>
          <w:vertAlign w:val="superscript"/>
        </w:rPr>
        <w:t xml:space="preserve">10</w:t>
      </w:r>
      <w:r>
        <w:rPr>
          <w:rFonts w:ascii="Calibri" w:cs="Calibri" w:eastAsia="Calibri" w:hAnsi="Calibri"/>
          <w:sz w:val="24"/>
          <w:szCs w:val="24"/>
        </w:rPr>
        <w:t xml:space="preserve"> Proliferating IH displays a hypoxia-responsive phenotype, hypoxia-induced mediators of progenitor cell mobilisation are elevated in affected children</w:t>
      </w:r>
      <w:r>
        <w:rPr>
          <w:rFonts w:ascii="Calibri" w:cs="Calibri" w:eastAsia="Calibri" w:hAnsi="Calibri"/>
          <w:sz w:val="24"/>
          <w:szCs w:val="24"/>
        </w:rPr>
        <w:t xml:space="preserve">,</w:t>
      </w:r>
      <w:r>
        <w:rPr>
          <w:rFonts w:ascii="Calibri" w:cs="Calibri" w:eastAsia="Calibri" w:hAnsi="Calibri"/>
          <w:sz w:val="24"/>
          <w:szCs w:val="24"/>
          <w:vertAlign w:val="superscript"/>
        </w:rPr>
        <w:t xml:space="preserve">11,12</w:t>
      </w:r>
      <w:r>
        <w:rPr>
          <w:rFonts w:ascii="Calibri" w:cs="Calibri" w:eastAsia="Calibri" w:hAnsi="Calibri"/>
          <w:sz w:val="24"/>
          <w:szCs w:val="24"/>
        </w:rPr>
        <w:t xml:space="preserve"> and clinical and histological observations have linked placental hypoxia to neonatal haemangioma</w:t>
      </w:r>
      <w:r>
        <w:rPr>
          <w:rFonts w:ascii="Calibri" w:cs="Calibri" w:eastAsia="Calibri" w:hAnsi="Calibri"/>
          <w:sz w:val="24"/>
          <w:szCs w:val="24"/>
        </w:rPr>
        <w:t xml:space="preserve">.</w:t>
      </w:r>
      <w:r>
        <w:rPr>
          <w:rFonts w:ascii="Calibri" w:cs="Calibri" w:eastAsia="Calibri" w:hAnsi="Calibri"/>
          <w:sz w:val="24"/>
          <w:szCs w:val="24"/>
          <w:vertAlign w:val="superscript"/>
        </w:rPr>
        <w:t xml:space="preserve">13</w:t>
      </w:r>
      <w:r>
        <w:rPr>
          <w:rFonts w:ascii="Calibri" w:cs="Calibri" w:eastAsia="Calibri" w:hAnsi="Calibri"/>
          <w:sz w:val="24"/>
          <w:szCs w:val="24"/>
        </w:rPr>
        <w:t xml:space="preserve"> These observations have led to the hypothesis that placental injury, and the intrauterine hypoxia or inflammation that accompanies it, may prime the development of IH</w:t>
      </w:r>
      <w:r>
        <w:rPr>
          <w:rFonts w:ascii="Calibri" w:cs="Calibri" w:eastAsia="Calibri" w:hAnsi="Calibri"/>
          <w:sz w:val="24"/>
          <w:szCs w:val="24"/>
        </w:rPr>
        <w:t xml:space="preserve">.</w:t>
      </w:r>
      <w:r>
        <w:rPr>
          <w:rFonts w:ascii="Calibri" w:cs="Calibri" w:eastAsia="Calibri" w:hAnsi="Calibri"/>
          <w:sz w:val="24"/>
          <w:szCs w:val="24"/>
          <w:vertAlign w:val="superscript"/>
        </w:rPr>
        <w:t xml:space="preserve">2,14</w:t>
      </w:r>
    </w:p>
    <w:p>
      <w:pPr>
        <w:spacing w:after="240" w:before="0" w:line="480"/>
      </w:pPr>
      <w:r>
        <w:rPr>
          <w:rFonts w:ascii="Calibri" w:cs="Calibri" w:eastAsia="Calibri" w:hAnsi="Calibri"/>
          <w:sz w:val="24"/>
          <w:szCs w:val="24"/>
        </w:rPr>
        <w:t xml:space="preserve">Contemporary placental pathology classifies lesions into injury patterns that reflect distinct biological processes</w:t>
      </w:r>
      <w:r>
        <w:rPr>
          <w:rFonts w:ascii="Calibri" w:cs="Calibri" w:eastAsia="Calibri" w:hAnsi="Calibri"/>
          <w:sz w:val="24"/>
          <w:szCs w:val="24"/>
        </w:rPr>
        <w:t xml:space="preserve">.</w:t>
      </w:r>
      <w:r>
        <w:rPr>
          <w:rFonts w:ascii="Calibri" w:cs="Calibri" w:eastAsia="Calibri" w:hAnsi="Calibri"/>
          <w:sz w:val="24"/>
          <w:szCs w:val="24"/>
          <w:vertAlign w:val="superscript"/>
        </w:rPr>
        <w:t xml:space="preserve">15,16</w:t>
      </w:r>
      <w:r>
        <w:rPr>
          <w:rFonts w:ascii="Calibri" w:cs="Calibri" w:eastAsia="Calibri" w:hAnsi="Calibri"/>
          <w:sz w:val="24"/>
          <w:szCs w:val="24"/>
        </w:rPr>
        <w:t xml:space="preserve"> Two patterns are of particular relevance. Maternal vascular malperfusion (MVM) reflects impaired uteroplacental perfusion and oxygenation, and acute inflammation (AI) reflects neutrophilic infiltration of the placental membranes and foetal vessels in response to an inflammatory intrauterine milieu</w:t>
      </w:r>
      <w:r>
        <w:rPr>
          <w:rFonts w:ascii="Calibri" w:cs="Calibri" w:eastAsia="Calibri" w:hAnsi="Calibri"/>
          <w:sz w:val="24"/>
          <w:szCs w:val="24"/>
        </w:rPr>
        <w:t xml:space="preserve">.</w:t>
      </w:r>
      <w:r>
        <w:rPr>
          <w:rFonts w:ascii="Calibri" w:cs="Calibri" w:eastAsia="Calibri" w:hAnsi="Calibri"/>
          <w:sz w:val="24"/>
          <w:szCs w:val="24"/>
          <w:vertAlign w:val="superscript"/>
        </w:rPr>
        <w:t xml:space="preserve">16,17</w:t>
      </w:r>
    </w:p>
    <w:p>
      <w:pPr>
        <w:spacing w:after="240" w:before="0" w:line="480"/>
      </w:pPr>
      <w:r>
        <w:rPr>
          <w:rFonts w:ascii="Calibri" w:cs="Calibri" w:eastAsia="Calibri" w:hAnsi="Calibri"/>
          <w:sz w:val="24"/>
          <w:szCs w:val="24"/>
        </w:rPr>
        <w:t xml:space="preserve">Few epidemiological studies have examined the placenta in relation to IH. In a prospective cohort of 594 infants with 27 IH cases, placental anomalies (i.e., a composite of clinical and pathological conditions including pre-eclampsia, placenta praevia, and growth restriction) were approximately twice as common in IH-affected pregnancies</w:t>
      </w:r>
      <w:r>
        <w:rPr>
          <w:rFonts w:ascii="Calibri" w:cs="Calibri" w:eastAsia="Calibri" w:hAnsi="Calibri"/>
          <w:sz w:val="24"/>
          <w:szCs w:val="24"/>
        </w:rPr>
        <w:t xml:space="preserve">.</w:t>
      </w:r>
      <w:r>
        <w:rPr>
          <w:rFonts w:ascii="Calibri" w:cs="Calibri" w:eastAsia="Calibri" w:hAnsi="Calibri"/>
          <w:sz w:val="24"/>
          <w:szCs w:val="24"/>
          <w:vertAlign w:val="superscript"/>
        </w:rPr>
        <w:t xml:space="preserve">7</w:t>
      </w:r>
      <w:r>
        <w:rPr>
          <w:rFonts w:ascii="Calibri" w:cs="Calibri" w:eastAsia="Calibri" w:hAnsi="Calibri"/>
          <w:sz w:val="24"/>
          <w:szCs w:val="24"/>
        </w:rPr>
        <w:t xml:space="preserve"> Among 26 very-low-birthweight infants, extensive infarction or retroplacental haematoma was reported in all 13 placentas from infants with IH</w:t>
      </w:r>
      <w:r>
        <w:rPr>
          <w:rFonts w:ascii="Calibri" w:cs="Calibri" w:eastAsia="Calibri" w:hAnsi="Calibri"/>
          <w:sz w:val="24"/>
          <w:szCs w:val="24"/>
        </w:rPr>
        <w:t xml:space="preserve">,</w:t>
      </w:r>
      <w:r>
        <w:rPr>
          <w:rFonts w:ascii="Calibri" w:cs="Calibri" w:eastAsia="Calibri" w:hAnsi="Calibri"/>
          <w:sz w:val="24"/>
          <w:szCs w:val="24"/>
          <w:vertAlign w:val="superscript"/>
        </w:rPr>
        <w:t xml:space="preserve">18</w:t>
      </w:r>
      <w:r>
        <w:rPr>
          <w:rFonts w:ascii="Calibri" w:cs="Calibri" w:eastAsia="Calibri" w:hAnsi="Calibri"/>
          <w:sz w:val="24"/>
          <w:szCs w:val="24"/>
        </w:rPr>
        <w:t xml:space="preserve"> whereas a Swedish case-control study found no association between placental chorangioma and parent-reported IH</w:t>
      </w:r>
      <w:r>
        <w:rPr>
          <w:rFonts w:ascii="Calibri" w:cs="Calibri" w:eastAsia="Calibri" w:hAnsi="Calibri"/>
          <w:sz w:val="24"/>
          <w:szCs w:val="24"/>
        </w:rPr>
        <w:t xml:space="preserve">.</w:t>
      </w:r>
      <w:r>
        <w:rPr>
          <w:rFonts w:ascii="Calibri" w:cs="Calibri" w:eastAsia="Calibri" w:hAnsi="Calibri"/>
          <w:sz w:val="24"/>
          <w:szCs w:val="24"/>
          <w:vertAlign w:val="superscript"/>
        </w:rPr>
        <w:t xml:space="preserve">19</w:t>
      </w:r>
      <w:r>
        <w:rPr>
          <w:rFonts w:ascii="Calibri" w:cs="Calibri" w:eastAsia="Calibri" w:hAnsi="Calibri"/>
          <w:sz w:val="24"/>
          <w:szCs w:val="24"/>
        </w:rPr>
        <w:t xml:space="preserve"> These studies were small, drawn from selected clinical populations, and unadjusted for confounding, and none examined contemporary patterns of placental injury or their co-occurrence. Placental histopathology is also challenging to study across centres, because diagnostic thresholds for MVM and AI vary between pathologists and institutions</w:t>
      </w:r>
      <w:r>
        <w:rPr>
          <w:rFonts w:ascii="Calibri" w:cs="Calibri" w:eastAsia="Calibri" w:hAnsi="Calibri"/>
          <w:sz w:val="24"/>
          <w:szCs w:val="24"/>
        </w:rPr>
        <w:t xml:space="preserve">.</w:t>
      </w:r>
      <w:r>
        <w:rPr>
          <w:rFonts w:ascii="Calibri" w:cs="Calibri" w:eastAsia="Calibri" w:hAnsi="Calibri"/>
          <w:sz w:val="24"/>
          <w:szCs w:val="24"/>
          <w:vertAlign w:val="superscript"/>
        </w:rPr>
        <w:t xml:space="preserve">20-22</w:t>
      </w:r>
    </w:p>
    <w:p>
      <w:pPr>
        <w:spacing w:after="240" w:before="0" w:line="480"/>
      </w:pPr>
      <w:r>
        <w:rPr>
          <w:rFonts w:ascii="Calibri" w:cs="Calibri" w:eastAsia="Calibri" w:hAnsi="Calibri"/>
          <w:sz w:val="24"/>
          <w:szCs w:val="24"/>
        </w:rPr>
        <w:t xml:space="preserve">The objective of this study was to examine associations of placental MVM and AI, separately and in combination, with paediatrician-ascertained IH by 12 months of age in the Collaborative Perinatal Project (CPP), a large prospective cohort with systematic placental histopathology and standardised infant examinations across 12 US clinical centres.</w:t>
      </w:r>
    </w:p>
    <w:p>
      <w:pPr>
        <w:keepNext/>
        <w:spacing w:after="120" w:before="240" w:line="480"/>
      </w:pPr>
      <w:r>
        <w:rPr>
          <w:rFonts w:ascii="Calibri" w:cs="Calibri" w:eastAsia="Calibri" w:hAnsi="Calibri"/>
          <w:b/>
          <w:bCs/>
          <w:i w:val="false"/>
          <w:iCs w:val="false"/>
          <w:sz w:val="24"/>
          <w:szCs w:val="24"/>
        </w:rPr>
        <w:t xml:space="preserve">2 | METHODS</w:t>
      </w:r>
    </w:p>
    <w:p>
      <w:pPr>
        <w:keepNext/>
        <w:spacing w:after="120" w:before="240" w:line="480"/>
      </w:pPr>
      <w:r>
        <w:rPr>
          <w:rFonts w:ascii="Calibri" w:cs="Calibri" w:eastAsia="Calibri" w:hAnsi="Calibri"/>
          <w:b/>
          <w:bCs/>
          <w:i w:val="false"/>
          <w:iCs w:val="false"/>
          <w:sz w:val="24"/>
          <w:szCs w:val="24"/>
        </w:rPr>
        <w:t xml:space="preserve">2.1 | Cohort selection</w:t>
      </w:r>
    </w:p>
    <w:p>
      <w:pPr>
        <w:spacing w:after="240" w:before="0" w:line="480"/>
      </w:pPr>
      <w:r>
        <w:rPr>
          <w:rFonts w:ascii="Calibri" w:cs="Calibri" w:eastAsia="Calibri" w:hAnsi="Calibri"/>
          <w:sz w:val="24"/>
          <w:szCs w:val="24"/>
        </w:rPr>
        <w:t xml:space="preserve">The CPP was a prospective cohort study of perinatal factors in relation to neurological and developmental outcomes in offspring</w:t>
      </w:r>
      <w:r>
        <w:rPr>
          <w:rFonts w:ascii="Calibri" w:cs="Calibri" w:eastAsia="Calibri" w:hAnsi="Calibri"/>
          <w:sz w:val="24"/>
          <w:szCs w:val="24"/>
        </w:rPr>
        <w:t xml:space="preserve">.</w:t>
      </w:r>
      <w:r>
        <w:rPr>
          <w:rFonts w:ascii="Calibri" w:cs="Calibri" w:eastAsia="Calibri" w:hAnsi="Calibri"/>
          <w:sz w:val="24"/>
          <w:szCs w:val="24"/>
          <w:vertAlign w:val="superscript"/>
        </w:rPr>
        <w:t xml:space="preserve">23,24</w:t>
      </w:r>
      <w:r>
        <w:rPr>
          <w:rFonts w:ascii="Calibri" w:cs="Calibri" w:eastAsia="Calibri" w:hAnsi="Calibri"/>
          <w:sz w:val="24"/>
          <w:szCs w:val="24"/>
        </w:rPr>
        <w:t xml:space="preserve"> Pregnant women were enrolled at their first antenatal visit at 12 US clinical centres from 1959 to 1965, with deliveries continuing into 1966. Placentas were examined by trained study pathologists at each centre using a standardised protocol</w:t>
      </w:r>
      <w:r>
        <w:rPr>
          <w:rFonts w:ascii="Calibri" w:cs="Calibri" w:eastAsia="Calibri" w:hAnsi="Calibri"/>
          <w:sz w:val="24"/>
          <w:szCs w:val="24"/>
        </w:rPr>
        <w:t xml:space="preserve">,</w:t>
      </w:r>
      <w:r>
        <w:rPr>
          <w:rFonts w:ascii="Calibri" w:cs="Calibri" w:eastAsia="Calibri" w:hAnsi="Calibri"/>
          <w:sz w:val="24"/>
          <w:szCs w:val="24"/>
          <w:vertAlign w:val="superscript"/>
        </w:rPr>
        <w:t xml:space="preserve">25</w:t>
      </w:r>
      <w:r>
        <w:rPr>
          <w:rFonts w:ascii="Calibri" w:cs="Calibri" w:eastAsia="Calibri" w:hAnsi="Calibri"/>
          <w:sz w:val="24"/>
          <w:szCs w:val="24"/>
        </w:rPr>
        <w:t xml:space="preserve"> and offspring underwent standardised examinations by study paediatricians at 12 months of age. The de-identified CPP data are publicly available through the US National Archives and Records Administration. This secondary analysis of de-identified, publicly available data was determined exempt by the University of Pennsylvania Institutional Review Board.</w:t>
      </w:r>
    </w:p>
    <w:p>
      <w:pPr>
        <w:spacing w:after="240" w:before="0" w:line="480"/>
      </w:pPr>
      <w:r>
        <w:rPr>
          <w:rFonts w:ascii="Calibri" w:cs="Calibri" w:eastAsia="Calibri" w:hAnsi="Calibri"/>
          <w:sz w:val="24"/>
          <w:szCs w:val="24"/>
        </w:rPr>
        <w:t xml:space="preserve">Of 59,391 infants in the CPP, 47,090 had a placental pathology record (Figure 1). Multiple gestations (n = 933) were excluded because twins may share a placenta, particularly in monochorionic pregnancies, so placental lesions cannot be assigned to the intrauterine exposure of an individual infant, and because multiple gestation is strongly associated with both placental pathology and IH</w:t>
      </w:r>
      <w:r>
        <w:rPr>
          <w:rFonts w:ascii="Calibri" w:cs="Calibri" w:eastAsia="Calibri" w:hAnsi="Calibri"/>
          <w:sz w:val="24"/>
          <w:szCs w:val="24"/>
        </w:rPr>
        <w:t xml:space="preserve">.</w:t>
      </w:r>
      <w:r>
        <w:rPr>
          <w:rFonts w:ascii="Calibri" w:cs="Calibri" w:eastAsia="Calibri" w:hAnsi="Calibri"/>
          <w:sz w:val="24"/>
          <w:szCs w:val="24"/>
          <w:vertAlign w:val="superscript"/>
        </w:rPr>
        <w:t xml:space="preserve">5</w:t>
      </w:r>
      <w:r>
        <w:rPr>
          <w:rFonts w:ascii="Calibri" w:cs="Calibri" w:eastAsia="Calibri" w:hAnsi="Calibri"/>
          <w:sz w:val="24"/>
          <w:szCs w:val="24"/>
        </w:rPr>
        <w:t xml:space="preserve"> After further excluding pregnancies with a missing MVM score (n = 887) or missing AI data (n = 2), the analytic sample comprised 45,268 singleton pregnancies. Reporting follows the Strengthening the Reporting of Observational Studies in Epidemiology (STROBE) guideline</w:t>
      </w:r>
      <w:r>
        <w:rPr>
          <w:rFonts w:ascii="Calibri" w:cs="Calibri" w:eastAsia="Calibri" w:hAnsi="Calibri"/>
          <w:sz w:val="24"/>
          <w:szCs w:val="24"/>
        </w:rPr>
        <w:t xml:space="preserve">.</w:t>
      </w:r>
      <w:r>
        <w:rPr>
          <w:rFonts w:ascii="Calibri" w:cs="Calibri" w:eastAsia="Calibri" w:hAnsi="Calibri"/>
          <w:sz w:val="24"/>
          <w:szCs w:val="24"/>
          <w:vertAlign w:val="superscript"/>
        </w:rPr>
        <w:t xml:space="preserve">26</w:t>
      </w:r>
    </w:p>
    <w:p>
      <w:pPr>
        <w:keepNext/>
        <w:spacing w:after="120" w:before="240" w:line="480"/>
      </w:pPr>
      <w:r>
        <w:rPr>
          <w:rFonts w:ascii="Calibri" w:cs="Calibri" w:eastAsia="Calibri" w:hAnsi="Calibri"/>
          <w:b/>
          <w:bCs/>
          <w:i w:val="false"/>
          <w:iCs w:val="false"/>
          <w:sz w:val="24"/>
          <w:szCs w:val="24"/>
        </w:rPr>
        <w:t xml:space="preserve">2.2 | Exposure</w:t>
      </w:r>
    </w:p>
    <w:p>
      <w:pPr>
        <w:spacing w:after="240" w:before="0" w:line="480"/>
      </w:pPr>
      <w:r>
        <w:rPr>
          <w:rFonts w:ascii="Calibri" w:cs="Calibri" w:eastAsia="Calibri" w:hAnsi="Calibri"/>
          <w:sz w:val="24"/>
          <w:szCs w:val="24"/>
        </w:rPr>
        <w:t xml:space="preserve">Placental examinations recorded individual lesions by anatomical location, including the umbilical cord, membranes, decidua, villi, and intervillous space. Consistent with contemporary classifications</w:t>
      </w:r>
      <w:r>
        <w:rPr>
          <w:rFonts w:ascii="Calibri" w:cs="Calibri" w:eastAsia="Calibri" w:hAnsi="Calibri"/>
          <w:sz w:val="24"/>
          <w:szCs w:val="24"/>
        </w:rPr>
        <w:t xml:space="preserve">,</w:t>
      </w:r>
      <w:r>
        <w:rPr>
          <w:rFonts w:ascii="Calibri" w:cs="Calibri" w:eastAsia="Calibri" w:hAnsi="Calibri"/>
          <w:sz w:val="24"/>
          <w:szCs w:val="24"/>
          <w:vertAlign w:val="superscript"/>
        </w:rPr>
        <w:t xml:space="preserve">15,16</w:t>
      </w:r>
      <w:r>
        <w:rPr>
          <w:rFonts w:ascii="Calibri" w:cs="Calibri" w:eastAsia="Calibri" w:hAnsi="Calibri"/>
          <w:sz w:val="24"/>
          <w:szCs w:val="24"/>
        </w:rPr>
        <w:t xml:space="preserve"> individual lesions were organised by the authors into patterns of injury, as previously described for this cohort</w:t>
      </w:r>
      <w:r>
        <w:rPr>
          <w:rFonts w:ascii="Calibri" w:cs="Calibri" w:eastAsia="Calibri" w:hAnsi="Calibri"/>
          <w:sz w:val="24"/>
          <w:szCs w:val="24"/>
        </w:rPr>
        <w:t xml:space="preserve">.</w:t>
      </w:r>
      <w:r>
        <w:rPr>
          <w:rFonts w:ascii="Calibri" w:cs="Calibri" w:eastAsia="Calibri" w:hAnsi="Calibri"/>
          <w:sz w:val="24"/>
          <w:szCs w:val="24"/>
          <w:vertAlign w:val="superscript"/>
        </w:rPr>
        <w:t xml:space="preserve">25</w:t>
      </w:r>
      <w:r>
        <w:rPr>
          <w:rFonts w:ascii="Calibri" w:cs="Calibri" w:eastAsia="Calibri" w:hAnsi="Calibri"/>
          <w:sz w:val="24"/>
          <w:szCs w:val="24"/>
        </w:rPr>
        <w:t xml:space="preserve"> The MVM score summed the available MVM lesions (i.e., retroplacental haematoma, increased perivillous fibrin deposition, increased syncytial knots, single infarct, multiple infarcts, intervillous thrombus with adjacent villous infarction, decidual vascular thrombosis, fibrinoid necrosis, and atherosis), with one point for each lesion, and two additional points if the placenta had at least one MVM lesion and weighed less than the 10th percentile for gestational age based on an internal CPP reference</w:t>
      </w:r>
      <w:r>
        <w:rPr>
          <w:rFonts w:ascii="Calibri" w:cs="Calibri" w:eastAsia="Calibri" w:hAnsi="Calibri"/>
          <w:sz w:val="24"/>
          <w:szCs w:val="24"/>
        </w:rPr>
        <w:t xml:space="preserve">.</w:t>
      </w:r>
      <w:r>
        <w:rPr>
          <w:rFonts w:ascii="Calibri" w:cs="Calibri" w:eastAsia="Calibri" w:hAnsi="Calibri"/>
          <w:sz w:val="24"/>
          <w:szCs w:val="24"/>
          <w:vertAlign w:val="superscript"/>
        </w:rPr>
        <w:t xml:space="preserve">25</w:t>
      </w:r>
      <w:r>
        <w:rPr>
          <w:rFonts w:ascii="Calibri" w:cs="Calibri" w:eastAsia="Calibri" w:hAnsi="Calibri"/>
          <w:sz w:val="24"/>
          <w:szCs w:val="24"/>
        </w:rPr>
        <w:t xml:space="preserve"> Four lesions in the current MVM definition were not recorded in the CPP</w:t>
      </w:r>
      <w:r>
        <w:rPr>
          <w:rFonts w:ascii="Calibri" w:cs="Calibri" w:eastAsia="Calibri" w:hAnsi="Calibri"/>
          <w:sz w:val="24"/>
          <w:szCs w:val="24"/>
        </w:rPr>
        <w:t xml:space="preserve">.</w:t>
      </w:r>
      <w:r>
        <w:rPr>
          <w:rFonts w:ascii="Calibri" w:cs="Calibri" w:eastAsia="Calibri" w:hAnsi="Calibri"/>
          <w:sz w:val="24"/>
          <w:szCs w:val="24"/>
          <w:vertAlign w:val="superscript"/>
        </w:rPr>
        <w:t xml:space="preserve">25</w:t>
      </w:r>
      <w:r>
        <w:rPr>
          <w:rFonts w:ascii="Calibri" w:cs="Calibri" w:eastAsia="Calibri" w:hAnsi="Calibri"/>
          <w:sz w:val="24"/>
          <w:szCs w:val="24"/>
        </w:rPr>
        <w:t xml:space="preserve"> MVM was analysed as present (score of one or more) versus absent, as a continuous score (observed range 0 to 8), and as grade (none, low [score 1 to 2], or high [score 3 or more]).</w:t>
      </w:r>
    </w:p>
    <w:p>
      <w:pPr>
        <w:spacing w:after="240" w:before="0" w:line="480"/>
      </w:pPr>
      <w:r>
        <w:rPr>
          <w:rFonts w:ascii="Calibri" w:cs="Calibri" w:eastAsia="Calibri" w:hAnsi="Calibri"/>
          <w:sz w:val="24"/>
          <w:szCs w:val="24"/>
        </w:rPr>
        <w:t xml:space="preserve">AI was defined as neutrophilic infiltration, graded 0 to 3, in any of seven compartments. The amnion and chorion of the membrane roll and of the placental surface represented the maternal inflammatory response, and the umbilical vein, umbilical artery, and foetal surface vessels represented the foetal inflammatory response</w:t>
      </w:r>
      <w:r>
        <w:rPr>
          <w:rFonts w:ascii="Calibri" w:cs="Calibri" w:eastAsia="Calibri" w:hAnsi="Calibri"/>
          <w:sz w:val="24"/>
          <w:szCs w:val="24"/>
        </w:rPr>
        <w:t xml:space="preserve">.</w:t>
      </w:r>
      <w:r>
        <w:rPr>
          <w:rFonts w:ascii="Calibri" w:cs="Calibri" w:eastAsia="Calibri" w:hAnsi="Calibri"/>
          <w:sz w:val="24"/>
          <w:szCs w:val="24"/>
          <w:vertAlign w:val="superscript"/>
        </w:rPr>
        <w:t xml:space="preserve">15,20</w:t>
      </w:r>
      <w:r>
        <w:rPr>
          <w:rFonts w:ascii="Calibri" w:cs="Calibri" w:eastAsia="Calibri" w:hAnsi="Calibri"/>
          <w:sz w:val="24"/>
          <w:szCs w:val="24"/>
        </w:rPr>
        <w:t xml:space="preserve"> AI was analysed as present versus absent, as a score counting the number of involved compartments (0 to 7), as stage (none, low, or high) as recorded in the CPP placental dataset, and by maternal or foetal involvement (maternal response only, foetal response only, or both). MVM and AI were also combined into a four-category joint exposure (neither, MVM only, AI only, or both).</w:t>
      </w:r>
    </w:p>
    <w:p>
      <w:pPr>
        <w:keepNext/>
        <w:spacing w:after="120" w:before="240" w:line="480"/>
      </w:pPr>
      <w:r>
        <w:rPr>
          <w:rFonts w:ascii="Calibri" w:cs="Calibri" w:eastAsia="Calibri" w:hAnsi="Calibri"/>
          <w:b/>
          <w:bCs/>
          <w:i w:val="false"/>
          <w:iCs w:val="false"/>
          <w:sz w:val="24"/>
          <w:szCs w:val="24"/>
        </w:rPr>
        <w:t xml:space="preserve">2.3 | Outcomes</w:t>
      </w:r>
    </w:p>
    <w:p>
      <w:pPr>
        <w:spacing w:after="240" w:before="0" w:line="480"/>
      </w:pPr>
      <w:r>
        <w:rPr>
          <w:rFonts w:ascii="Calibri" w:cs="Calibri" w:eastAsia="Calibri" w:hAnsi="Calibri"/>
          <w:sz w:val="24"/>
          <w:szCs w:val="24"/>
        </w:rPr>
        <w:t xml:space="preserve">Study paediatricians examined surviving offspring at approximately 12 months of age using a standardised protocol and recorded IH as definite, suspect, or absent. The primary outcome was definite IH. In a sensitivity analysis, suspect cases were also classified as IH.</w:t>
      </w:r>
    </w:p>
    <w:p>
      <w:pPr>
        <w:keepNext/>
        <w:spacing w:after="120" w:before="240" w:line="480"/>
      </w:pPr>
      <w:r>
        <w:rPr>
          <w:rFonts w:ascii="Calibri" w:cs="Calibri" w:eastAsia="Calibri" w:hAnsi="Calibri"/>
          <w:b/>
          <w:bCs/>
          <w:i w:val="false"/>
          <w:iCs w:val="false"/>
          <w:sz w:val="24"/>
          <w:szCs w:val="24"/>
        </w:rPr>
        <w:t xml:space="preserve">2.4 | Statistical analysis</w:t>
      </w:r>
    </w:p>
    <w:p>
      <w:pPr>
        <w:spacing w:after="240" w:before="0" w:line="480"/>
      </w:pPr>
      <w:r>
        <w:rPr>
          <w:rFonts w:ascii="Calibri" w:cs="Calibri" w:eastAsia="Calibri" w:hAnsi="Calibri"/>
          <w:sz w:val="24"/>
          <w:szCs w:val="24"/>
        </w:rPr>
        <w:t xml:space="preserve">Confounders were selected a priori as potential common causes of placental pathology and IH and were measured before pregnancy or at enrolment. They were maternal age (continuous), pre-pregnancy body mass index (continuous), race and ethnicity (White [reference], Black, Puerto Rican, or other), education (less than high school [reference], some high school, high school graduate, or some college or more), annual family income (seven categories, with $4,000 to $5,999 as reference), marital status (married or common law [reference], single, or widowed, divorced, or separated), smoking (none [reference], 1 to 19, or 20 or more cigarettes per day), parity (0 [reference], 1, 2, 3, or 4 or more), pre-pregnancy diabetes, chronic hypertension, and infant sex (female [reference] or male). Race and ethnicity, as recorded by study staff at enrolment, were included as a marker of social and structural conditions, including racism, that may influence both placental health and the detection of IH, not as a biological construct. White was chosen as the reference because it was the largest group. Study site was included because placental diagnoses and IH prevalence varied across centres. Gestational age, birthweight, and hypertensive disorders arising during pregnancy were not adjusted for because they may lie on the pathway between placental pathology and IH</w:t>
      </w:r>
      <w:r>
        <w:rPr>
          <w:rFonts w:ascii="Calibri" w:cs="Calibri" w:eastAsia="Calibri" w:hAnsi="Calibri"/>
          <w:sz w:val="24"/>
          <w:szCs w:val="24"/>
        </w:rPr>
        <w:t xml:space="preserve">.</w:t>
      </w:r>
      <w:r>
        <w:rPr>
          <w:rFonts w:ascii="Calibri" w:cs="Calibri" w:eastAsia="Calibri" w:hAnsi="Calibri"/>
          <w:sz w:val="24"/>
          <w:szCs w:val="24"/>
          <w:vertAlign w:val="superscript"/>
        </w:rPr>
        <w:t xml:space="preserve">27</w:t>
      </w:r>
    </w:p>
    <w:p>
      <w:pPr>
        <w:spacing w:after="240" w:before="0" w:line="480"/>
      </w:pPr>
      <w:r>
        <w:rPr>
          <w:rFonts w:ascii="Calibri" w:cs="Calibri" w:eastAsia="Calibri" w:hAnsi="Calibri"/>
          <w:sz w:val="24"/>
          <w:szCs w:val="24"/>
        </w:rPr>
        <w:t xml:space="preserve">Relative risks (RR) and 95% confidence intervals (CI) were estimated with modified Poisson regression</w:t>
      </w:r>
      <w:r>
        <w:rPr>
          <w:rFonts w:ascii="Calibri" w:cs="Calibri" w:eastAsia="Calibri" w:hAnsi="Calibri"/>
          <w:sz w:val="24"/>
          <w:szCs w:val="24"/>
          <w:vertAlign w:val="superscript"/>
        </w:rPr>
        <w:t xml:space="preserve">28</w:t>
      </w:r>
      <w:r>
        <w:rPr>
          <w:rFonts w:ascii="Calibri" w:cs="Calibri" w:eastAsia="Calibri" w:hAnsi="Calibri"/>
          <w:sz w:val="24"/>
          <w:szCs w:val="24"/>
        </w:rPr>
        <w:t xml:space="preserve"> using generalised estimating equations with an exchangeable correlation structure, to account for siblings born to the same mother</w:t>
      </w:r>
      <w:r>
        <w:rPr>
          <w:rFonts w:ascii="Calibri" w:cs="Calibri" w:eastAsia="Calibri" w:hAnsi="Calibri"/>
          <w:sz w:val="24"/>
          <w:szCs w:val="24"/>
        </w:rPr>
        <w:t xml:space="preserve">.</w:t>
      </w:r>
      <w:r>
        <w:rPr>
          <w:rFonts w:ascii="Calibri" w:cs="Calibri" w:eastAsia="Calibri" w:hAnsi="Calibri"/>
          <w:sz w:val="24"/>
          <w:szCs w:val="24"/>
          <w:vertAlign w:val="superscript"/>
        </w:rPr>
        <w:t xml:space="preserve">29</w:t>
      </w:r>
      <w:r>
        <w:rPr>
          <w:rFonts w:ascii="Calibri" w:cs="Calibri" w:eastAsia="Calibri" w:hAnsi="Calibri"/>
          <w:sz w:val="24"/>
          <w:szCs w:val="24"/>
        </w:rPr>
        <w:t xml:space="preserve"> The exposures, (1) MVM and (2) AI, were each examined in separate models, both as binary variables (present versus absent) and as continuous scores (MVM per point and AI per involved compartment). MVM and AI were also examined jointly using (1) the four-category joint exposure, with placentas showing neither as the reference, and (2) a mutually adjusted model that included any MVM and any AI together. Three models were fitted for each exposure: (1) crude, (2) primary multivariable (11 covariates, study site, and censoring weights), and (3) secondary multivariable (11 covariates and censoring weights, without study site). For the joint exposure, additive interaction was quantified with the relative excess risk due to interaction (RERI), the attributable proportion, and the synergy index, and multiplicative interaction with the ratio of RRs, with CIs estimated by the delta method from the pooled variance-covariance matrix</w:t>
      </w:r>
      <w:r>
        <w:rPr>
          <w:rFonts w:ascii="Calibri" w:cs="Calibri" w:eastAsia="Calibri" w:hAnsi="Calibri"/>
          <w:sz w:val="24"/>
          <w:szCs w:val="24"/>
        </w:rPr>
        <w:t xml:space="preserve">.</w:t>
      </w:r>
      <w:r>
        <w:rPr>
          <w:rFonts w:ascii="Calibri" w:cs="Calibri" w:eastAsia="Calibri" w:hAnsi="Calibri"/>
          <w:sz w:val="24"/>
          <w:szCs w:val="24"/>
          <w:vertAlign w:val="superscript"/>
        </w:rPr>
        <w:t xml:space="preserve">30,31</w:t>
      </w:r>
      <w:r>
        <w:rPr>
          <w:rFonts w:ascii="Calibri" w:cs="Calibri" w:eastAsia="Calibri" w:hAnsi="Calibri"/>
          <w:sz w:val="24"/>
          <w:szCs w:val="24"/>
        </w:rPr>
        <w:t xml:space="preserve"> To assess sensitivity to unmeasured confounding, E-values were calculated for the point estimate and the CI limit closest to the null</w:t>
      </w:r>
      <w:r>
        <w:rPr>
          <w:rFonts w:ascii="Calibri" w:cs="Calibri" w:eastAsia="Calibri" w:hAnsi="Calibri"/>
          <w:sz w:val="24"/>
          <w:szCs w:val="24"/>
        </w:rPr>
        <w:t xml:space="preserve">.</w:t>
      </w:r>
      <w:r>
        <w:rPr>
          <w:rFonts w:ascii="Calibri" w:cs="Calibri" w:eastAsia="Calibri" w:hAnsi="Calibri"/>
          <w:sz w:val="24"/>
          <w:szCs w:val="24"/>
          <w:vertAlign w:val="superscript"/>
        </w:rPr>
        <w:t xml:space="preserve">32</w:t>
      </w:r>
      <w:r>
        <w:rPr>
          <w:rFonts w:ascii="Calibri" w:cs="Calibri" w:eastAsia="Calibri" w:hAnsi="Calibri"/>
          <w:sz w:val="24"/>
          <w:szCs w:val="24"/>
        </w:rPr>
        <w:t xml:space="preserve"> Analyses were conducted in R version 4.3.3.</w:t>
      </w:r>
    </w:p>
    <w:p>
      <w:pPr>
        <w:keepNext/>
        <w:spacing w:after="120" w:before="240" w:line="480"/>
      </w:pPr>
      <w:r>
        <w:rPr>
          <w:rFonts w:ascii="Calibri" w:cs="Calibri" w:eastAsia="Calibri" w:hAnsi="Calibri"/>
          <w:b w:val="false"/>
          <w:bCs w:val="false"/>
          <w:i/>
          <w:iCs/>
          <w:sz w:val="24"/>
          <w:szCs w:val="24"/>
        </w:rPr>
        <w:t xml:space="preserve">2.4.1 | Missing data</w:t>
      </w:r>
    </w:p>
    <w:p>
      <w:pPr>
        <w:spacing w:after="240" w:before="0" w:line="480"/>
      </w:pPr>
      <w:r>
        <w:rPr>
          <w:rFonts w:ascii="Calibri" w:cs="Calibri" w:eastAsia="Calibri" w:hAnsi="Calibri"/>
          <w:sz w:val="24"/>
          <w:szCs w:val="24"/>
        </w:rPr>
        <w:t xml:space="preserve">Missing covariate data (body mass index 8.7%, income 6.3%, education 1.4%, parity 1.0%, smoking 0.8%, and less than 0.1% for other covariates) were imputed by multiple imputation by chained equations (50 datasets, 10 iterations), using all covariates, exposures, and study site as predictors</w:t>
      </w:r>
      <w:r>
        <w:rPr>
          <w:rFonts w:ascii="Calibri" w:cs="Calibri" w:eastAsia="Calibri" w:hAnsi="Calibri"/>
          <w:sz w:val="24"/>
          <w:szCs w:val="24"/>
        </w:rPr>
        <w:t xml:space="preserve">.</w:t>
      </w:r>
      <w:r>
        <w:rPr>
          <w:rFonts w:ascii="Calibri" w:cs="Calibri" w:eastAsia="Calibri" w:hAnsi="Calibri"/>
          <w:sz w:val="24"/>
          <w:szCs w:val="24"/>
          <w:vertAlign w:val="superscript"/>
        </w:rPr>
        <w:t xml:space="preserve">33</w:t>
      </w:r>
      <w:r>
        <w:rPr>
          <w:rFonts w:ascii="Calibri" w:cs="Calibri" w:eastAsia="Calibri" w:hAnsi="Calibri"/>
          <w:sz w:val="24"/>
          <w:szCs w:val="24"/>
        </w:rPr>
        <w:t xml:space="preserve"> Exposures and outcomes were not imputed. Estimates and variance-covariance matrices were combined across datasets using Rubin's rules</w:t>
      </w:r>
      <w:r>
        <w:rPr>
          <w:rFonts w:ascii="Calibri" w:cs="Calibri" w:eastAsia="Calibri" w:hAnsi="Calibri"/>
          <w:sz w:val="24"/>
          <w:szCs w:val="24"/>
        </w:rPr>
        <w:t xml:space="preserve">.</w:t>
      </w:r>
      <w:r>
        <w:rPr>
          <w:rFonts w:ascii="Calibri" w:cs="Calibri" w:eastAsia="Calibri" w:hAnsi="Calibri"/>
          <w:sz w:val="24"/>
          <w:szCs w:val="24"/>
          <w:vertAlign w:val="superscript"/>
        </w:rPr>
        <w:t xml:space="preserve">34</w:t>
      </w:r>
    </w:p>
    <w:p>
      <w:pPr>
        <w:spacing w:after="240" w:before="0" w:line="480"/>
      </w:pPr>
      <w:r>
        <w:rPr>
          <w:rFonts w:ascii="Calibri" w:cs="Calibri" w:eastAsia="Calibri" w:hAnsi="Calibri"/>
          <w:sz w:val="24"/>
          <w:szCs w:val="24"/>
        </w:rPr>
        <w:t xml:space="preserve">Of the 45,268 infants, 4.1% (1,834) died before the 12-month examination and, among those who survived, 6.3% (2,734) did not have an IH examination. Characteristics of included and excluded infants are shown in eTable 1. To reduce selection bias from restricting analyses to infants with an observed outcome, stabilised inverse probability of censoring weights were estimated within each imputed dataset</w:t>
      </w:r>
      <w:r>
        <w:rPr>
          <w:rFonts w:ascii="Calibri" w:cs="Calibri" w:eastAsia="Calibri" w:hAnsi="Calibri"/>
          <w:sz w:val="24"/>
          <w:szCs w:val="24"/>
        </w:rPr>
        <w:t xml:space="preserve">.</w:t>
      </w:r>
      <w:r>
        <w:rPr>
          <w:rFonts w:ascii="Calibri" w:cs="Calibri" w:eastAsia="Calibri" w:hAnsi="Calibri"/>
          <w:sz w:val="24"/>
          <w:szCs w:val="24"/>
          <w:vertAlign w:val="superscript"/>
        </w:rPr>
        <w:t xml:space="preserve">35</w:t>
      </w:r>
      <w:r>
        <w:rPr>
          <w:rFonts w:ascii="Calibri" w:cs="Calibri" w:eastAsia="Calibri" w:hAnsi="Calibri"/>
          <w:sz w:val="24"/>
          <w:szCs w:val="24"/>
        </w:rPr>
        <w:t xml:space="preserve"> The denominator model included MVM, AI, all covariates, and study site, and the numerator model included an intercept only</w:t>
      </w:r>
      <w:r>
        <w:rPr>
          <w:rFonts w:ascii="Calibri" w:cs="Calibri" w:eastAsia="Calibri" w:hAnsi="Calibri"/>
          <w:sz w:val="24"/>
          <w:szCs w:val="24"/>
        </w:rPr>
        <w:t xml:space="preserve">.</w:t>
      </w:r>
      <w:r>
        <w:rPr>
          <w:rFonts w:ascii="Calibri" w:cs="Calibri" w:eastAsia="Calibri" w:hAnsi="Calibri"/>
          <w:sz w:val="24"/>
          <w:szCs w:val="24"/>
          <w:vertAlign w:val="superscript"/>
        </w:rPr>
        <w:t xml:space="preserve">36</w:t>
      </w:r>
      <w:r>
        <w:rPr>
          <w:rFonts w:ascii="Calibri" w:cs="Calibri" w:eastAsia="Calibri" w:hAnsi="Calibri"/>
          <w:sz w:val="24"/>
          <w:szCs w:val="24"/>
        </w:rPr>
        <w:t xml:space="preserve"> Because infants who died could not be examined, the weighted estimates correspond to the risk of IH had all infants survived to 12 months</w:t>
      </w:r>
      <w:r>
        <w:rPr>
          <w:rFonts w:ascii="Calibri" w:cs="Calibri" w:eastAsia="Calibri" w:hAnsi="Calibri"/>
          <w:sz w:val="24"/>
          <w:szCs w:val="24"/>
        </w:rPr>
        <w:t xml:space="preserve">.</w:t>
      </w:r>
      <w:r>
        <w:rPr>
          <w:rFonts w:ascii="Calibri" w:cs="Calibri" w:eastAsia="Calibri" w:hAnsi="Calibri"/>
          <w:sz w:val="24"/>
          <w:szCs w:val="24"/>
          <w:vertAlign w:val="superscript"/>
        </w:rPr>
        <w:t xml:space="preserve">37</w:t>
      </w:r>
    </w:p>
    <w:p>
      <w:pPr>
        <w:keepNext/>
        <w:spacing w:after="120" w:before="240" w:line="480"/>
      </w:pPr>
      <w:r>
        <w:rPr>
          <w:rFonts w:ascii="Calibri" w:cs="Calibri" w:eastAsia="Calibri" w:hAnsi="Calibri"/>
          <w:b w:val="false"/>
          <w:bCs w:val="false"/>
          <w:i/>
          <w:iCs/>
          <w:sz w:val="24"/>
          <w:szCs w:val="24"/>
        </w:rPr>
        <w:t xml:space="preserve">2.4.2 | Sensitivity analyses</w:t>
      </w:r>
    </w:p>
    <w:p>
      <w:pPr>
        <w:spacing w:after="240" w:before="0" w:line="480"/>
      </w:pPr>
      <w:r>
        <w:rPr>
          <w:rFonts w:ascii="Calibri" w:cs="Calibri" w:eastAsia="Calibri" w:hAnsi="Calibri"/>
          <w:sz w:val="24"/>
          <w:szCs w:val="24"/>
        </w:rPr>
        <w:t xml:space="preserve">Sensitivity analyses examined (1) MVM grade and AI stage (i.e., none [reference], low, or high, to assess whether IH risk increased with lesion severity), (2) AI by maternal or foetal involvement (i.e., maternal response only [amnion or chorion], foetal response only [umbilical vessels or foetal surface vessels], or both, compared with no AI), (3) sequential addition of covariate groups and study site, (4) study site as a random intercept instead of a fixed effect, (5) stratification by the Boston centre, where most placentas were examined by one pathologist</w:t>
      </w:r>
      <w:r>
        <w:rPr>
          <w:rFonts w:ascii="Calibri" w:cs="Calibri" w:eastAsia="Calibri" w:hAnsi="Calibri"/>
          <w:sz w:val="24"/>
          <w:szCs w:val="24"/>
        </w:rPr>
        <w:t xml:space="preserve">,</w:t>
      </w:r>
      <w:r>
        <w:rPr>
          <w:rFonts w:ascii="Calibri" w:cs="Calibri" w:eastAsia="Calibri" w:hAnsi="Calibri"/>
          <w:sz w:val="24"/>
          <w:szCs w:val="24"/>
          <w:vertAlign w:val="superscript"/>
        </w:rPr>
        <w:t xml:space="preserve">38</w:t>
      </w:r>
      <w:r>
        <w:rPr>
          <w:rFonts w:ascii="Calibri" w:cs="Calibri" w:eastAsia="Calibri" w:hAnsi="Calibri"/>
          <w:sz w:val="24"/>
          <w:szCs w:val="24"/>
        </w:rPr>
        <w:t xml:space="preserve"> versus the other 11 centres, and (6) the broader outcome that included suspect IH.</w:t>
      </w:r>
    </w:p>
    <w:p>
      <w:pPr>
        <w:keepNext/>
        <w:spacing w:after="120" w:before="240" w:line="480"/>
      </w:pPr>
      <w:r>
        <w:rPr>
          <w:rFonts w:ascii="Calibri" w:cs="Calibri" w:eastAsia="Calibri" w:hAnsi="Calibri"/>
          <w:b/>
          <w:bCs/>
          <w:i w:val="false"/>
          <w:iCs w:val="false"/>
          <w:sz w:val="24"/>
          <w:szCs w:val="24"/>
        </w:rPr>
        <w:t xml:space="preserve">3 | RESULTS</w:t>
      </w:r>
    </w:p>
    <w:p>
      <w:pPr>
        <w:spacing w:after="240" w:before="0" w:line="480"/>
      </w:pPr>
      <w:r>
        <w:rPr>
          <w:rFonts w:ascii="Calibri" w:cs="Calibri" w:eastAsia="Calibri" w:hAnsi="Calibri"/>
          <w:sz w:val="24"/>
          <w:szCs w:val="24"/>
        </w:rPr>
        <w:t xml:space="preserve">Of 45,268 pregnancies, 29.0% (13,119) had any MVM, 22.5% (10,188) had any AI, and 7.9% (3,554) had both (Table 1). Pregnancies with MVM more often involved women with less than a high school education (19.7% vs 16.3%), pre-pregnancy diabetes (2.1% vs 1.3%), and chronic hypertension (6.3% vs 5.6%). Pregnancies with AI more often involved White women (52.3% vs 47.0%), heavy smoking (20.5% vs 16.6%), and male infants (53.4% vs 50.2%). Of the 40,700 infants (89.9%) examined at 12 months, 1.7% (700) had definite IH and a further 0.6% (230) had suspect IH (eTable 2). Compared with included infants, infants who died before 12 months more often had MVM (58.6% vs 27.8%), both MVM and AI (26.3% vs 7.1%), and preterm birth (56.9% vs 12.7%), whereas infants who survived without an examination were similar to included infants (eTable 1). Across centres, any MVM ranged from 9.8% to 80.3%, any AI from 14.5% to 38.1%, and definite IH from 0.4% to 3.6%, with Boston contributing 41.4% (290/700) of IH cases (eTable 3).</w:t>
      </w:r>
    </w:p>
    <w:p>
      <w:pPr>
        <w:spacing w:after="240" w:before="0" w:line="480"/>
      </w:pPr>
      <w:r>
        <w:rPr>
          <w:rFonts w:ascii="Calibri" w:cs="Calibri" w:eastAsia="Calibri" w:hAnsi="Calibri"/>
          <w:sz w:val="24"/>
          <w:szCs w:val="24"/>
        </w:rPr>
        <w:t xml:space="preserve">IH risk was higher for infants whose placentas showed both MVM and AI (2.4%, 70/2,895) than for those whose placentas showed neither (1.6%, 364/23,391) (RR 1.37, 95% CI 1.05, 1.79) (Table 2). Estimates for placentas with MVM only (1.8%, 155/8,429, RR 1.08, 95% CI 0.89, 1.32) or AI only (1.9%, 111/5,985, RR 1.07, 95% CI 0.86, 1.32) were close to the null. The RERI was 0.22 (95% CI −0.20, 0.64), the attributable proportion was 0.16 (95% CI −0.12, 0.44), and the ratio of RRs was 1.18 (95% CI 0.83, 1.68), compatible with, but not establishing, interaction on either scale (eTable 4). An unmeasured confounder would need to be associated with both the joint exposure and IH by an RR of 2.08 each, beyond the measured covariates, to fully explain the association, and by an RR of 1.28 to move the lower confidence limit to 1 (eTable 5).</w:t>
      </w:r>
    </w:p>
    <w:p>
      <w:pPr>
        <w:spacing w:after="240" w:before="0" w:line="480"/>
      </w:pPr>
      <w:r>
        <w:rPr>
          <w:rFonts w:ascii="Calibri" w:cs="Calibri" w:eastAsia="Calibri" w:hAnsi="Calibri"/>
          <w:sz w:val="24"/>
          <w:szCs w:val="24"/>
        </w:rPr>
        <w:t xml:space="preserve">IH occurred in 2.0% (225/11,324) of infants with MVM and 1.6% (475/29,376) of those without, and in 2.0% (181/8,880) of infants with AI and 1.6% (519/31,820) of those without (Table 2). In the primary model, MVM (RR 1.14, 95% CI 0.96, 1.35) and AI (RR 1.14, 95% CI 0.96, 1.35) were each associated with a modestly higher but imprecise IH risk, as were the MVM score (per point, RR 1.05, 95% CI 0.97, 1.15) and the AI score (per involved compartment, RR 1.03, 95% CI 0.98, 1.08). Estimates were unchanged in the mutually adjusted model (eTable 6) and were larger in the secondary model without study site (MVM RR 1.25, 95% CI 1.07, 1.46, and AI RR 1.20, 95% CI 1.02, 1.42).</w:t>
      </w:r>
    </w:p>
    <w:p>
      <w:pPr>
        <w:spacing w:after="240" w:before="0" w:line="480"/>
      </w:pPr>
      <w:r>
        <w:rPr>
          <w:rFonts w:ascii="Calibri" w:cs="Calibri" w:eastAsia="Calibri" w:hAnsi="Calibri"/>
          <w:sz w:val="24"/>
          <w:szCs w:val="24"/>
        </w:rPr>
        <w:t xml:space="preserve">IH risk did not increase with MVM grade or AI stage (eTable 7), and estimates were similar for maternal-only, foetal-only, and combined inflammatory responses (eTable 8). Adjustment for the 11 covariates changed estimates little, whereas adding study site attenuated them (eTable 9). Results were similar when study site was modelled as a random effect (eTable 10). Estimates for MVM were similar in Boston and the other 11 centres, whereas the estimate for AI was higher in Boston, where AI was also recorded more often (eTable 11). Results were also similar when suspect IH was included in the outcome (eTable 12).</w:t>
      </w:r>
    </w:p>
    <w:p>
      <w:pPr>
        <w:keepNext/>
        <w:spacing w:after="120" w:before="240" w:line="480"/>
      </w:pPr>
      <w:r>
        <w:rPr>
          <w:rFonts w:ascii="Calibri" w:cs="Calibri" w:eastAsia="Calibri" w:hAnsi="Calibri"/>
          <w:b/>
          <w:bCs/>
          <w:i w:val="false"/>
          <w:iCs w:val="false"/>
          <w:sz w:val="24"/>
          <w:szCs w:val="24"/>
        </w:rPr>
        <w:t xml:space="preserve">4 | COMMENT</w:t>
      </w:r>
    </w:p>
    <w:p>
      <w:pPr>
        <w:keepNext/>
        <w:spacing w:after="120" w:before="240" w:line="480"/>
      </w:pPr>
      <w:r>
        <w:rPr>
          <w:rFonts w:ascii="Calibri" w:cs="Calibri" w:eastAsia="Calibri" w:hAnsi="Calibri"/>
          <w:b/>
          <w:bCs/>
          <w:i w:val="false"/>
          <w:iCs w:val="false"/>
          <w:sz w:val="24"/>
          <w:szCs w:val="24"/>
        </w:rPr>
        <w:t xml:space="preserve">4.1 | Principal findings</w:t>
      </w:r>
    </w:p>
    <w:p>
      <w:pPr>
        <w:spacing w:after="240" w:before="0" w:line="480"/>
      </w:pPr>
      <w:r>
        <w:rPr>
          <w:rFonts w:ascii="Calibri" w:cs="Calibri" w:eastAsia="Calibri" w:hAnsi="Calibri"/>
          <w:sz w:val="24"/>
          <w:szCs w:val="24"/>
        </w:rPr>
        <w:t xml:space="preserve">In this prospective cohort of 45,268 singleton pregnancies, infants whose placentas showed both MVM and AI had a higher risk of IH than infants whose placentas showed neither. MVM and AI alone were each associated with a modestly higher but imprecise IH risk, and risk did not increase with MVM grade or AI stage.</w:t>
      </w:r>
    </w:p>
    <w:p>
      <w:pPr>
        <w:keepNext/>
        <w:spacing w:after="120" w:before="240" w:line="480"/>
      </w:pPr>
      <w:r>
        <w:rPr>
          <w:rFonts w:ascii="Calibri" w:cs="Calibri" w:eastAsia="Calibri" w:hAnsi="Calibri"/>
          <w:b/>
          <w:bCs/>
          <w:i w:val="false"/>
          <w:iCs w:val="false"/>
          <w:sz w:val="24"/>
          <w:szCs w:val="24"/>
        </w:rPr>
        <w:t xml:space="preserve">4.2 | Strengths of the study</w:t>
      </w:r>
    </w:p>
    <w:p>
      <w:pPr>
        <w:spacing w:after="240" w:before="0" w:line="480"/>
      </w:pPr>
      <w:r>
        <w:rPr>
          <w:rFonts w:ascii="Calibri" w:cs="Calibri" w:eastAsia="Calibri" w:hAnsi="Calibri"/>
          <w:sz w:val="24"/>
          <w:szCs w:val="24"/>
        </w:rPr>
        <w:t xml:space="preserve">Placentas were examined at delivery under a common protocol before any infant outcome was known, and IH was ascertained by standardised paediatrician examination of all surviving infants regardless of exposure, which avoids the referral and surveillance biases of clinic-based and administrative studies. The cohort was substantially larger than previous studies of placental pathology and IH, and the analysis addressed confounding by centre, missing covariate data, selection due to death and loss to follow-up, and clustering of siblings.</w:t>
      </w:r>
    </w:p>
    <w:p>
      <w:pPr>
        <w:keepNext/>
        <w:spacing w:after="120" w:before="240" w:line="480"/>
      </w:pPr>
      <w:r>
        <w:rPr>
          <w:rFonts w:ascii="Calibri" w:cs="Calibri" w:eastAsia="Calibri" w:hAnsi="Calibri"/>
          <w:b/>
          <w:bCs/>
          <w:i w:val="false"/>
          <w:iCs w:val="false"/>
          <w:sz w:val="24"/>
          <w:szCs w:val="24"/>
        </w:rPr>
        <w:t xml:space="preserve">4.3 | Limitations of the data</w:t>
      </w:r>
    </w:p>
    <w:p>
      <w:pPr>
        <w:spacing w:after="240" w:before="0" w:line="480"/>
      </w:pPr>
      <w:r>
        <w:rPr>
          <w:rFonts w:ascii="Calibri" w:cs="Calibri" w:eastAsia="Calibri" w:hAnsi="Calibri"/>
          <w:sz w:val="24"/>
          <w:szCs w:val="24"/>
        </w:rPr>
        <w:t xml:space="preserve">Despite the size of the cohort, IH is uncommon, and the study had limited precision to detect small associations or interaction. The CPP predates the Amsterdam consensus, and four lesions in the current MVM definition were not recorded</w:t>
      </w:r>
      <w:r>
        <w:rPr>
          <w:rFonts w:ascii="Calibri" w:cs="Calibri" w:eastAsia="Calibri" w:hAnsi="Calibri"/>
          <w:sz w:val="24"/>
          <w:szCs w:val="24"/>
        </w:rPr>
        <w:t xml:space="preserve">.</w:t>
      </w:r>
      <w:r>
        <w:rPr>
          <w:rFonts w:ascii="Calibri" w:cs="Calibri" w:eastAsia="Calibri" w:hAnsi="Calibri"/>
          <w:sz w:val="24"/>
          <w:szCs w:val="24"/>
          <w:vertAlign w:val="superscript"/>
        </w:rPr>
        <w:t xml:space="preserve">25</w:t>
      </w:r>
      <w:r>
        <w:rPr>
          <w:rFonts w:ascii="Calibri" w:cs="Calibri" w:eastAsia="Calibri" w:hAnsi="Calibri"/>
          <w:sz w:val="24"/>
          <w:szCs w:val="24"/>
        </w:rPr>
        <w:t xml:space="preserve"> Placental diagnoses varied widely across centres (e.g., MVM was recorded in 9.8% to 80.3% of placentas), consistent with previous evidence that CPP lesion rates differ by site</w:t>
      </w:r>
      <w:r>
        <w:rPr>
          <w:rFonts w:ascii="Calibri" w:cs="Calibri" w:eastAsia="Calibri" w:hAnsi="Calibri"/>
          <w:sz w:val="24"/>
          <w:szCs w:val="24"/>
        </w:rPr>
        <w:t xml:space="preserve">.</w:t>
      </w:r>
      <w:r>
        <w:rPr>
          <w:rFonts w:ascii="Calibri" w:cs="Calibri" w:eastAsia="Calibri" w:hAnsi="Calibri"/>
          <w:sz w:val="24"/>
          <w:szCs w:val="24"/>
          <w:vertAlign w:val="superscript"/>
        </w:rPr>
        <w:t xml:space="preserve">22</w:t>
      </w:r>
      <w:r>
        <w:rPr>
          <w:rFonts w:ascii="Calibri" w:cs="Calibri" w:eastAsia="Calibri" w:hAnsi="Calibri"/>
          <w:sz w:val="24"/>
          <w:szCs w:val="24"/>
        </w:rPr>
        <w:t xml:space="preserve"> This variation confounded estimates before adjustment for study site, and both non-differential and centre-specific exposure misclassification are likely. IH was ascertained at a single examination at 12 months. Most IH reach their maximum size by five months of age and remain visible at one year</w:t>
      </w:r>
      <w:r>
        <w:rPr>
          <w:rFonts w:ascii="Calibri" w:cs="Calibri" w:eastAsia="Calibri" w:hAnsi="Calibri"/>
          <w:sz w:val="24"/>
          <w:szCs w:val="24"/>
        </w:rPr>
        <w:t xml:space="preserve">,</w:t>
      </w:r>
      <w:r>
        <w:rPr>
          <w:rFonts w:ascii="Calibri" w:cs="Calibri" w:eastAsia="Calibri" w:hAnsi="Calibri"/>
          <w:sz w:val="24"/>
          <w:szCs w:val="24"/>
          <w:vertAlign w:val="superscript"/>
        </w:rPr>
        <w:t xml:space="preserve">3</w:t>
      </w:r>
      <w:r>
        <w:rPr>
          <w:rFonts w:ascii="Calibri" w:cs="Calibri" w:eastAsia="Calibri" w:hAnsi="Calibri"/>
          <w:sz w:val="24"/>
          <w:szCs w:val="24"/>
        </w:rPr>
        <w:t xml:space="preserve"> but small or involuting lesions may have been missed, and the diagnostic categories of the 1960s predate the modern classification of vascular anomalies. Outcome misclassification unrelated to placental pathology would most likely attenuate associations. Infants who died before 12 months had more placental pathology than included infants, and the weighted estimates refer to a population in which all infants survived. Finally, residual confounding is possible, including by maternal history of angioma, an established risk factor that was not recorded</w:t>
      </w:r>
      <w:r>
        <w:rPr>
          <w:rFonts w:ascii="Calibri" w:cs="Calibri" w:eastAsia="Calibri" w:hAnsi="Calibri"/>
          <w:sz w:val="24"/>
          <w:szCs w:val="24"/>
        </w:rPr>
        <w:t xml:space="preserve">,</w:t>
      </w:r>
      <w:r>
        <w:rPr>
          <w:rFonts w:ascii="Calibri" w:cs="Calibri" w:eastAsia="Calibri" w:hAnsi="Calibri"/>
          <w:sz w:val="24"/>
          <w:szCs w:val="24"/>
          <w:vertAlign w:val="superscript"/>
        </w:rPr>
        <w:t xml:space="preserve">39</w:t>
      </w:r>
      <w:r>
        <w:rPr>
          <w:rFonts w:ascii="Calibri" w:cs="Calibri" w:eastAsia="Calibri" w:hAnsi="Calibri"/>
          <w:sz w:val="24"/>
          <w:szCs w:val="24"/>
        </w:rPr>
        <w:t xml:space="preserve"> although an unmeasured confounder would need to be associated with both the joint exposure and IH by an RR of 2.08 to explain the joint association.</w:t>
      </w:r>
    </w:p>
    <w:p>
      <w:pPr>
        <w:keepNext/>
        <w:spacing w:after="120" w:before="240" w:line="480"/>
      </w:pPr>
      <w:r>
        <w:rPr>
          <w:rFonts w:ascii="Calibri" w:cs="Calibri" w:eastAsia="Calibri" w:hAnsi="Calibri"/>
          <w:b/>
          <w:bCs/>
          <w:i w:val="false"/>
          <w:iCs w:val="false"/>
          <w:sz w:val="24"/>
          <w:szCs w:val="24"/>
        </w:rPr>
        <w:t xml:space="preserve">4.4 | Interpretation</w:t>
      </w:r>
    </w:p>
    <w:p>
      <w:pPr>
        <w:spacing w:after="240" w:before="0" w:line="480"/>
      </w:pPr>
      <w:r>
        <w:rPr>
          <w:rFonts w:ascii="Calibri" w:cs="Calibri" w:eastAsia="Calibri" w:hAnsi="Calibri"/>
          <w:sz w:val="24"/>
          <w:szCs w:val="24"/>
        </w:rPr>
        <w:t xml:space="preserve">The higher risk of IH with co-occurring MVM and AI is consistent with earlier studies reporting that placental abnormalities were more common in pregnancies affected by IH</w:t>
      </w:r>
      <w:r>
        <w:rPr>
          <w:rFonts w:ascii="Calibri" w:cs="Calibri" w:eastAsia="Calibri" w:hAnsi="Calibri"/>
          <w:sz w:val="24"/>
          <w:szCs w:val="24"/>
        </w:rPr>
        <w:t xml:space="preserve">.</w:t>
      </w:r>
      <w:r>
        <w:rPr>
          <w:rFonts w:ascii="Calibri" w:cs="Calibri" w:eastAsia="Calibri" w:hAnsi="Calibri"/>
          <w:sz w:val="24"/>
          <w:szCs w:val="24"/>
          <w:vertAlign w:val="superscript"/>
        </w:rPr>
        <w:t xml:space="preserve">7,18</w:t>
      </w:r>
      <w:r>
        <w:rPr>
          <w:rFonts w:ascii="Calibri" w:cs="Calibri" w:eastAsia="Calibri" w:hAnsi="Calibri"/>
          <w:sz w:val="24"/>
          <w:szCs w:val="24"/>
        </w:rPr>
        <w:t xml:space="preserve"> Among 26 very-low-birthweight infants, extensive infarction or retroplacental haematoma was found in all 13 placentas of infants with IH, with chorioamnionitis or funisitis in some</w:t>
      </w:r>
      <w:r>
        <w:rPr>
          <w:rFonts w:ascii="Calibri" w:cs="Calibri" w:eastAsia="Calibri" w:hAnsi="Calibri"/>
          <w:sz w:val="24"/>
          <w:szCs w:val="24"/>
        </w:rPr>
        <w:t xml:space="preserve">.</w:t>
      </w:r>
      <w:r>
        <w:rPr>
          <w:rFonts w:ascii="Calibri" w:cs="Calibri" w:eastAsia="Calibri" w:hAnsi="Calibri"/>
          <w:sz w:val="24"/>
          <w:szCs w:val="24"/>
          <w:vertAlign w:val="superscript"/>
        </w:rPr>
        <w:t xml:space="preserve">18</w:t>
      </w:r>
      <w:r>
        <w:rPr>
          <w:rFonts w:ascii="Calibri" w:cs="Calibri" w:eastAsia="Calibri" w:hAnsi="Calibri"/>
          <w:sz w:val="24"/>
          <w:szCs w:val="24"/>
        </w:rPr>
        <w:t xml:space="preserve"> In a cohort of 594 infants, placental anomalies, largely clinically defined conditions such as pre-eclampsia and placenta praevia, were approximately twice as common in IH-affected pregnancies</w:t>
      </w:r>
      <w:r>
        <w:rPr>
          <w:rFonts w:ascii="Calibri" w:cs="Calibri" w:eastAsia="Calibri" w:hAnsi="Calibri"/>
          <w:sz w:val="24"/>
          <w:szCs w:val="24"/>
        </w:rPr>
        <w:t xml:space="preserve">.</w:t>
      </w:r>
      <w:r>
        <w:rPr>
          <w:rFonts w:ascii="Calibri" w:cs="Calibri" w:eastAsia="Calibri" w:hAnsi="Calibri"/>
          <w:sz w:val="24"/>
          <w:szCs w:val="24"/>
          <w:vertAlign w:val="superscript"/>
        </w:rPr>
        <w:t xml:space="preserve">7</w:t>
      </w:r>
      <w:r>
        <w:rPr>
          <w:rFonts w:ascii="Calibri" w:cs="Calibri" w:eastAsia="Calibri" w:hAnsi="Calibri"/>
          <w:sz w:val="24"/>
          <w:szCs w:val="24"/>
        </w:rPr>
        <w:t xml:space="preserve"> Neither study examined the co-occurrence of MVM and AI or adjusted for confounding. The modest and imprecise associations for MVM or AI alone are consistent with studies of hypertensive disorders of pregnancy, a complication frequently accompanied by MVM</w:t>
      </w:r>
      <w:r>
        <w:rPr>
          <w:rFonts w:ascii="Calibri" w:cs="Calibri" w:eastAsia="Calibri" w:hAnsi="Calibri"/>
          <w:sz w:val="24"/>
          <w:szCs w:val="24"/>
        </w:rPr>
        <w:t xml:space="preserve">.</w:t>
      </w:r>
      <w:r>
        <w:rPr>
          <w:rFonts w:ascii="Calibri" w:cs="Calibri" w:eastAsia="Calibri" w:hAnsi="Calibri"/>
          <w:sz w:val="24"/>
          <w:szCs w:val="24"/>
          <w:vertAlign w:val="superscript"/>
        </w:rPr>
        <w:t xml:space="preserve">40</w:t>
      </w:r>
      <w:r>
        <w:rPr>
          <w:rFonts w:ascii="Calibri" w:cs="Calibri" w:eastAsia="Calibri" w:hAnsi="Calibri"/>
          <w:sz w:val="24"/>
          <w:szCs w:val="24"/>
        </w:rPr>
        <w:t xml:space="preserve"> A previous CPP analysis found no clear association between hypertensive disorders of pregnancy and IH</w:t>
      </w:r>
      <w:r>
        <w:rPr>
          <w:rFonts w:ascii="Calibri" w:cs="Calibri" w:eastAsia="Calibri" w:hAnsi="Calibri"/>
          <w:sz w:val="24"/>
          <w:szCs w:val="24"/>
        </w:rPr>
        <w:t xml:space="preserve">,</w:t>
      </w:r>
      <w:r>
        <w:rPr>
          <w:rFonts w:ascii="Calibri" w:cs="Calibri" w:eastAsia="Calibri" w:hAnsi="Calibri"/>
          <w:sz w:val="24"/>
          <w:szCs w:val="24"/>
          <w:vertAlign w:val="superscript"/>
        </w:rPr>
        <w:t xml:space="preserve">41</w:t>
      </w:r>
      <w:r>
        <w:rPr>
          <w:rFonts w:ascii="Calibri" w:cs="Calibri" w:eastAsia="Calibri" w:hAnsi="Calibri"/>
          <w:sz w:val="24"/>
          <w:szCs w:val="24"/>
        </w:rPr>
        <w:t xml:space="preserve"> and in administrative data the association between pre-eclampsia and IH largely reflected greater surveillance of infants with longer neonatal stays</w:t>
      </w:r>
      <w:r>
        <w:rPr>
          <w:rFonts w:ascii="Calibri" w:cs="Calibri" w:eastAsia="Calibri" w:hAnsi="Calibri"/>
          <w:sz w:val="24"/>
          <w:szCs w:val="24"/>
        </w:rPr>
        <w:t xml:space="preserve">.</w:t>
      </w:r>
      <w:r>
        <w:rPr>
          <w:rFonts w:ascii="Calibri" w:cs="Calibri" w:eastAsia="Calibri" w:hAnsi="Calibri"/>
          <w:sz w:val="24"/>
          <w:szCs w:val="24"/>
          <w:vertAlign w:val="superscript"/>
        </w:rPr>
        <w:t xml:space="preserve">42</w:t>
      </w:r>
    </w:p>
    <w:p>
      <w:pPr>
        <w:spacing w:after="240" w:before="0" w:line="480"/>
      </w:pPr>
      <w:r>
        <w:rPr>
          <w:rFonts w:ascii="Calibri" w:cs="Calibri" w:eastAsia="Calibri" w:hAnsi="Calibri"/>
          <w:sz w:val="24"/>
          <w:szCs w:val="24"/>
        </w:rPr>
        <w:t xml:space="preserve">The higher risk when MVM and AI co-occurred is compatible with a multiple-hit model in which vascular and inflammatory insults converge on foetal angiogenic signalling</w:t>
      </w:r>
      <w:r>
        <w:rPr>
          <w:rFonts w:ascii="Calibri" w:cs="Calibri" w:eastAsia="Calibri" w:hAnsi="Calibri"/>
          <w:sz w:val="24"/>
          <w:szCs w:val="24"/>
        </w:rPr>
        <w:t xml:space="preserve">.</w:t>
      </w:r>
      <w:r>
        <w:rPr>
          <w:rFonts w:ascii="Calibri" w:cs="Calibri" w:eastAsia="Calibri" w:hAnsi="Calibri"/>
          <w:sz w:val="24"/>
          <w:szCs w:val="24"/>
          <w:vertAlign w:val="superscript"/>
        </w:rPr>
        <w:t xml:space="preserve">2,17</w:t>
      </w:r>
      <w:r>
        <w:rPr>
          <w:rFonts w:ascii="Calibri" w:cs="Calibri" w:eastAsia="Calibri" w:hAnsi="Calibri"/>
          <w:sz w:val="24"/>
          <w:szCs w:val="24"/>
        </w:rPr>
        <w:t xml:space="preserve"> Placental hypoxia has been proposed as the initiating event in a cascade of intrauterine insults that contribute to IH</w:t>
      </w:r>
      <w:r>
        <w:rPr>
          <w:rFonts w:ascii="Calibri" w:cs="Calibri" w:eastAsia="Calibri" w:hAnsi="Calibri"/>
          <w:sz w:val="24"/>
          <w:szCs w:val="24"/>
        </w:rPr>
        <w:t xml:space="preserve">.</w:t>
      </w:r>
      <w:r>
        <w:rPr>
          <w:rFonts w:ascii="Calibri" w:cs="Calibri" w:eastAsia="Calibri" w:hAnsi="Calibri"/>
          <w:sz w:val="24"/>
          <w:szCs w:val="24"/>
          <w:vertAlign w:val="superscript"/>
        </w:rPr>
        <w:t xml:space="preserve">11,14</w:t>
      </w:r>
      <w:r>
        <w:rPr>
          <w:rFonts w:ascii="Calibri" w:cs="Calibri" w:eastAsia="Calibri" w:hAnsi="Calibri"/>
          <w:sz w:val="24"/>
          <w:szCs w:val="24"/>
        </w:rPr>
        <w:t xml:space="preserve"> MVM lesions such as infarction, retroplacental haematoma, and increased perivillous fibrin deposition reduce the transfer of oxygen across the villi and may result in chronic foetal hypoxic stress. Hypoxia and oxidative stress can themselves induce sterile placental inflammation</w:t>
      </w:r>
      <w:r>
        <w:rPr>
          <w:rFonts w:ascii="Calibri" w:cs="Calibri" w:eastAsia="Calibri" w:hAnsi="Calibri"/>
          <w:sz w:val="24"/>
          <w:szCs w:val="24"/>
        </w:rPr>
        <w:t xml:space="preserve">,</w:t>
      </w:r>
      <w:r>
        <w:rPr>
          <w:rFonts w:ascii="Calibri" w:cs="Calibri" w:eastAsia="Calibri" w:hAnsi="Calibri"/>
          <w:sz w:val="24"/>
          <w:szCs w:val="24"/>
          <w:vertAlign w:val="superscript"/>
        </w:rPr>
        <w:t xml:space="preserve">43</w:t>
      </w:r>
      <w:r>
        <w:rPr>
          <w:rFonts w:ascii="Calibri" w:cs="Calibri" w:eastAsia="Calibri" w:hAnsi="Calibri"/>
          <w:sz w:val="24"/>
          <w:szCs w:val="24"/>
        </w:rPr>
        <w:t xml:space="preserve"> and AI may compound hypoxic and ischaemic injury through increased inflammatory signalling</w:t>
      </w:r>
      <w:r>
        <w:rPr>
          <w:rFonts w:ascii="Calibri" w:cs="Calibri" w:eastAsia="Calibri" w:hAnsi="Calibri"/>
          <w:sz w:val="24"/>
          <w:szCs w:val="24"/>
        </w:rPr>
        <w:t xml:space="preserve">.</w:t>
      </w:r>
      <w:r>
        <w:rPr>
          <w:rFonts w:ascii="Calibri" w:cs="Calibri" w:eastAsia="Calibri" w:hAnsi="Calibri"/>
          <w:sz w:val="24"/>
          <w:szCs w:val="24"/>
          <w:vertAlign w:val="superscript"/>
        </w:rPr>
        <w:t xml:space="preserve">17</w:t>
      </w:r>
      <w:r>
        <w:rPr>
          <w:rFonts w:ascii="Calibri" w:cs="Calibri" w:eastAsia="Calibri" w:hAnsi="Calibri"/>
          <w:sz w:val="24"/>
          <w:szCs w:val="24"/>
        </w:rPr>
        <w:t xml:space="preserve"> AI generally reflects an inflammatory process close to delivery, so an effect on IH would require a systemic foetal inflammatory response with lasting consequences</w:t>
      </w:r>
      <w:r>
        <w:rPr>
          <w:rFonts w:ascii="Calibri" w:cs="Calibri" w:eastAsia="Calibri" w:hAnsi="Calibri"/>
          <w:sz w:val="24"/>
          <w:szCs w:val="24"/>
        </w:rPr>
        <w:t xml:space="preserve">.</w:t>
      </w:r>
      <w:r>
        <w:rPr>
          <w:rFonts w:ascii="Calibri" w:cs="Calibri" w:eastAsia="Calibri" w:hAnsi="Calibri"/>
          <w:sz w:val="24"/>
          <w:szCs w:val="24"/>
          <w:vertAlign w:val="superscript"/>
        </w:rPr>
        <w:t xml:space="preserve">44</w:t>
      </w:r>
      <w:r>
        <w:rPr>
          <w:rFonts w:ascii="Calibri" w:cs="Calibri" w:eastAsia="Calibri" w:hAnsi="Calibri"/>
          <w:sz w:val="24"/>
          <w:szCs w:val="24"/>
        </w:rPr>
        <w:t xml:space="preserve"> Consistent with the predominantly postnatal growth of IH, antenatal placental injury may prime a susceptible population of endothelial progenitor cells, whereas postnatal hormonal and angiogenic signals determine whether they proliferate</w:t>
      </w:r>
      <w:r>
        <w:rPr>
          <w:rFonts w:ascii="Calibri" w:cs="Calibri" w:eastAsia="Calibri" w:hAnsi="Calibri"/>
          <w:sz w:val="24"/>
          <w:szCs w:val="24"/>
        </w:rPr>
        <w:t xml:space="preserve">.</w:t>
      </w:r>
      <w:r>
        <w:rPr>
          <w:rFonts w:ascii="Calibri" w:cs="Calibri" w:eastAsia="Calibri" w:hAnsi="Calibri"/>
          <w:sz w:val="24"/>
          <w:szCs w:val="24"/>
          <w:vertAlign w:val="superscript"/>
        </w:rPr>
        <w:t xml:space="preserve">2,3</w:t>
      </w:r>
      <w:r>
        <w:rPr>
          <w:rFonts w:ascii="Calibri" w:cs="Calibri" w:eastAsia="Calibri" w:hAnsi="Calibri"/>
          <w:sz w:val="24"/>
          <w:szCs w:val="24"/>
        </w:rPr>
        <w:t xml:space="preserve"> The interaction estimates were imprecise and compatible with no departure from additivity.</w:t>
      </w:r>
    </w:p>
    <w:p>
      <w:pPr>
        <w:spacing w:after="240" w:before="0" w:line="480"/>
      </w:pPr>
      <w:r>
        <w:rPr>
          <w:rFonts w:ascii="Calibri" w:cs="Calibri" w:eastAsia="Calibri" w:hAnsi="Calibri"/>
          <w:sz w:val="24"/>
          <w:szCs w:val="24"/>
        </w:rPr>
        <w:t xml:space="preserve">Future studies should link placental lesions to cord-blood markers of foetal inflammation and hypoxia and to serial dermatological examinations during the first months of life, which may distinguish maternal from foetal effects and capture both the occurrence and growth of IH. Formal mediation analyses through preterm birth and foetal growth would clarify whether any effect of placental injury on IH operates through these pathways, and modifiable upstream determinants of placental injury, such as maternal diet, environmental exposures, and hypertensive disorders, are a research priority.</w:t>
      </w:r>
    </w:p>
    <w:p>
      <w:pPr>
        <w:keepNext/>
        <w:spacing w:after="120" w:before="240" w:line="480"/>
      </w:pPr>
      <w:r>
        <w:rPr>
          <w:rFonts w:ascii="Calibri" w:cs="Calibri" w:eastAsia="Calibri" w:hAnsi="Calibri"/>
          <w:b/>
          <w:bCs/>
          <w:i w:val="false"/>
          <w:iCs w:val="false"/>
          <w:sz w:val="24"/>
          <w:szCs w:val="24"/>
        </w:rPr>
        <w:t xml:space="preserve">5 | CONCLUSIONS</w:t>
      </w:r>
    </w:p>
    <w:p>
      <w:pPr>
        <w:spacing w:after="240" w:before="0" w:line="480"/>
      </w:pPr>
      <w:r>
        <w:rPr>
          <w:rFonts w:ascii="Calibri" w:cs="Calibri" w:eastAsia="Calibri" w:hAnsi="Calibri"/>
          <w:sz w:val="24"/>
          <w:szCs w:val="24"/>
        </w:rPr>
        <w:t xml:space="preserve">In this large prospective cohort, infants whose placentas showed both MVM and AI had a higher risk of IH, suggesting that chronic malperfusion and acute inflammation closer to delivery may act together in the development of IH. MVM and AI alone were associated with modestly higher but imprecise risks. These findings support further study of combined placental injury in the developmental origins of IH.</w:t>
      </w:r>
    </w:p>
    <w:p>
      <w:pPr>
        <w:keepNext/>
        <w:spacing w:after="120" w:before="240" w:line="480"/>
      </w:pPr>
      <w:r>
        <w:rPr>
          <w:rFonts w:ascii="Calibri" w:cs="Calibri" w:eastAsia="Calibri" w:hAnsi="Calibri"/>
          <w:b/>
          <w:bCs/>
          <w:i w:val="false"/>
          <w:iCs w:val="false"/>
          <w:sz w:val="24"/>
          <w:szCs w:val="24"/>
        </w:rPr>
        <w:t xml:space="preserve">AUTHOR CONTRIBUTIONS</w:t>
      </w:r>
    </w:p>
    <w:p>
      <w:pPr>
        <w:spacing w:after="240" w:before="0" w:line="480"/>
      </w:pPr>
      <w:r>
        <w:rPr>
          <w:rFonts w:ascii="Calibri" w:cs="Calibri" w:eastAsia="Calibri" w:hAnsi="Calibri"/>
          <w:sz w:val="24"/>
          <w:szCs w:val="24"/>
        </w:rPr>
        <w:t xml:space="preserve">Jessica J. Wong: Conceptualisation, Methodology, Formal analysis, Data curation, Visualisation, Funding acquisition, Writing (original draft). Sunni L. Mumford: Methodology, Writing (review and editing). Alexa A. Freedman: Data curation, Methodology, Writing (review and editing). Linda M. Ernst: Methodology, Writing (review and editing). Yajnaseni Chakraborti: Data curation, Methodology, Writing (review and editing). David J. Margolis: Conceptualisation, Writing (review and editing). Ellen C. Caniglia: Methodology, Writing (review and editing). Enrique F. Schisterman: Methodology, Writing (review and editing). Stefanie N. Hinkle: Conceptualisation, Methodology, Supervision, Writing (review and editing). Ellen C. Francis: Conceptualisation, Methodology, Supervision, Writing (review and editing).</w:t>
      </w:r>
    </w:p>
    <w:p>
      <w:pPr>
        <w:keepNext/>
        <w:spacing w:after="120" w:before="240" w:line="480"/>
      </w:pPr>
      <w:r>
        <w:rPr>
          <w:rFonts w:ascii="Calibri" w:cs="Calibri" w:eastAsia="Calibri" w:hAnsi="Calibri"/>
          <w:b/>
          <w:bCs/>
          <w:i w:val="false"/>
          <w:iCs w:val="false"/>
          <w:sz w:val="24"/>
          <w:szCs w:val="24"/>
        </w:rPr>
        <w:t xml:space="preserve">ACKNOWLEDGEMENTS</w:t>
      </w:r>
    </w:p>
    <w:p>
      <w:pPr>
        <w:spacing w:after="240" w:before="0" w:line="480"/>
      </w:pPr>
      <w:r>
        <w:rPr>
          <w:rFonts w:ascii="Calibri" w:cs="Calibri" w:eastAsia="Calibri" w:hAnsi="Calibri"/>
          <w:sz w:val="24"/>
          <w:szCs w:val="24"/>
        </w:rPr>
        <w:t xml:space="preserve">The authors thank the women and children who participated in the Collaborative Perinatal Project, the study staff at the 12 clinical centres, and the US National Archives and Records Administration for providing access to the study data. During the preparation of this work the authors used Claude (Anthropic) to assist with statistical programming, checking of analyses, and drafting and language editing of the manuscript, and ChatGPT Deep Research (OpenAI) to assist with literature searching. The authors reviewed and edited all content and take full responsibility for the published article.</w:t>
      </w:r>
    </w:p>
    <w:p>
      <w:pPr>
        <w:keepNext/>
        <w:spacing w:after="120" w:before="240" w:line="480"/>
      </w:pPr>
      <w:r>
        <w:rPr>
          <w:rFonts w:ascii="Calibri" w:cs="Calibri" w:eastAsia="Calibri" w:hAnsi="Calibri"/>
          <w:b/>
          <w:bCs/>
          <w:i w:val="false"/>
          <w:iCs w:val="false"/>
          <w:sz w:val="24"/>
          <w:szCs w:val="24"/>
        </w:rPr>
        <w:t xml:space="preserve">FUNDING INFORMATION</w:t>
      </w:r>
    </w:p>
    <w:p>
      <w:pPr>
        <w:spacing w:after="240" w:before="0" w:line="480"/>
      </w:pPr>
      <w:r>
        <w:rPr>
          <w:rFonts w:ascii="Calibri" w:cs="Calibri" w:eastAsia="Calibri" w:hAnsi="Calibri"/>
          <w:sz w:val="24"/>
          <w:szCs w:val="24"/>
        </w:rPr>
        <w:t xml:space="preserve">This work was supported by (1) the National Institute of Allergy and Infectious Diseases of the National Institutes of Health (F31AI198148, JJW) and (2) a National Research Grant from The Gerber Foundation (10105208, JJW). The funders had no role in the study design, collection, analysis or interpretation of data, writing of the report, or the decision to submit the article for publication.</w:t>
      </w:r>
    </w:p>
    <w:p>
      <w:pPr>
        <w:keepNext/>
        <w:spacing w:after="120" w:before="240" w:line="480"/>
      </w:pPr>
      <w:r>
        <w:rPr>
          <w:rFonts w:ascii="Calibri" w:cs="Calibri" w:eastAsia="Calibri" w:hAnsi="Calibri"/>
          <w:b/>
          <w:bCs/>
          <w:i w:val="false"/>
          <w:iCs w:val="false"/>
          <w:sz w:val="24"/>
          <w:szCs w:val="24"/>
        </w:rPr>
        <w:t xml:space="preserve">CONFLICT OF INTEREST STATEMENT</w:t>
      </w:r>
    </w:p>
    <w:p>
      <w:pPr>
        <w:spacing w:after="240" w:before="0" w:line="480"/>
      </w:pPr>
      <w:r>
        <w:rPr>
          <w:rFonts w:ascii="Calibri" w:cs="Calibri" w:eastAsia="Calibri" w:hAnsi="Calibri"/>
          <w:sz w:val="24"/>
          <w:szCs w:val="24"/>
        </w:rPr>
        <w:t xml:space="preserve">The authors declare no conflicts of interest.</w:t>
      </w:r>
    </w:p>
    <w:p>
      <w:pPr>
        <w:keepNext/>
        <w:spacing w:after="120" w:before="240" w:line="480"/>
      </w:pPr>
      <w:r>
        <w:rPr>
          <w:rFonts w:ascii="Calibri" w:cs="Calibri" w:eastAsia="Calibri" w:hAnsi="Calibri"/>
          <w:b/>
          <w:bCs/>
          <w:i w:val="false"/>
          <w:iCs w:val="false"/>
          <w:sz w:val="24"/>
          <w:szCs w:val="24"/>
        </w:rPr>
        <w:t xml:space="preserve">DATA AVAILABILITY STATEMENT</w:t>
      </w:r>
    </w:p>
    <w:p>
      <w:pPr>
        <w:spacing w:after="240" w:before="0" w:line="480"/>
      </w:pPr>
      <w:r>
        <w:rPr>
          <w:rFonts w:ascii="Calibri" w:cs="Calibri" w:eastAsia="Calibri" w:hAnsi="Calibri"/>
          <w:sz w:val="24"/>
          <w:szCs w:val="24"/>
        </w:rPr>
        <w:t xml:space="preserve">The Collaborative Perinatal Project data are publicly available through the US National Archives and Records Administration (Identifier: 606622, https://www.archives.gov/research/electronic-records/nih.html). The analysis code will be deposited in a public repository on acceptance. [FLAG: add repository link]</w:t>
      </w:r>
    </w:p>
    <w:p>
      <w:r>
        <w:br w:type="page"/>
      </w:r>
    </w:p>
    <w:p>
      <w:pPr>
        <w:keepNext/>
        <w:spacing w:after="120" w:before="240" w:line="480"/>
      </w:pPr>
      <w:r>
        <w:rPr>
          <w:rFonts w:ascii="Calibri" w:cs="Calibri" w:eastAsia="Calibri" w:hAnsi="Calibri"/>
          <w:b/>
          <w:bCs/>
          <w:i w:val="false"/>
          <w:iCs w:val="false"/>
          <w:sz w:val="24"/>
          <w:szCs w:val="24"/>
        </w:rPr>
        <w:t xml:space="preserve">REFERENCES</w:t>
      </w:r>
    </w:p>
    <w:p>
      <w:pPr>
        <w:spacing w:after="240" w:before="0" w:line="480"/>
        <w:ind w:left="480" w:hanging="480"/>
      </w:pPr>
      <w:r>
        <w:rPr>
          <w:rFonts w:ascii="Calibri" w:cs="Calibri" w:eastAsia="Calibri" w:hAnsi="Calibri"/>
          <w:sz w:val="24"/>
          <w:szCs w:val="24"/>
        </w:rPr>
        <w:t xml:space="preserve">1. Sun Y, Zhao J, Meng Y, Luo X, Jiang C, Deng G, et al. The prevalence, complications, and risk factors for infantile hemangioma: a systematic review and meta-analysis. International Journal of Dermatology. 2024; 63:737-746. [FLAG: confirm initials of authors 4 to 6]</w:t>
      </w:r>
    </w:p>
    <w:p>
      <w:pPr>
        <w:spacing w:after="240" w:before="0" w:line="480"/>
        <w:ind w:left="480" w:hanging="480"/>
      </w:pPr>
      <w:r>
        <w:rPr>
          <w:rFonts w:ascii="Calibri" w:cs="Calibri" w:eastAsia="Calibri" w:hAnsi="Calibri"/>
          <w:sz w:val="24"/>
          <w:szCs w:val="24"/>
        </w:rPr>
        <w:t xml:space="preserve">2. Holm A, Mulliken JB, Bischoff J. Infantile hemangioma: the common and enigmatic vascular tumor. Journal of Clinical Investigation. 2024; 134:e172836.</w:t>
      </w:r>
    </w:p>
    <w:p>
      <w:pPr>
        <w:spacing w:after="240" w:before="0" w:line="480"/>
        <w:ind w:left="480" w:hanging="480"/>
      </w:pPr>
      <w:r>
        <w:rPr>
          <w:rFonts w:ascii="Calibri" w:cs="Calibri" w:eastAsia="Calibri" w:hAnsi="Calibri"/>
          <w:sz w:val="24"/>
          <w:szCs w:val="24"/>
        </w:rPr>
        <w:t xml:space="preserve">3. Chang LC, Haggstrom AN, Drolet BA, Baselga E, Chamlin SL, Garzon MC, et al. Growth characteristics of infantile hemangiomas: implications for management. Pediatrics. 2008; 122:360-367.</w:t>
      </w:r>
    </w:p>
    <w:p>
      <w:pPr>
        <w:spacing w:after="240" w:before="0" w:line="480"/>
        <w:ind w:left="480" w:hanging="480"/>
      </w:pPr>
      <w:r>
        <w:rPr>
          <w:rFonts w:ascii="Calibri" w:cs="Calibri" w:eastAsia="Calibri" w:hAnsi="Calibri"/>
          <w:sz w:val="24"/>
          <w:szCs w:val="24"/>
        </w:rPr>
        <w:t xml:space="preserve">4. Léauté-Labrèze C, Harper JI, Hoeger PH. Infantile haemangioma. Lancet. 2017; 390:85-94.</w:t>
      </w:r>
    </w:p>
    <w:p>
      <w:pPr>
        <w:spacing w:after="240" w:before="0" w:line="480"/>
        <w:ind w:left="480" w:hanging="480"/>
      </w:pPr>
      <w:r>
        <w:rPr>
          <w:rFonts w:ascii="Calibri" w:cs="Calibri" w:eastAsia="Calibri" w:hAnsi="Calibri"/>
          <w:sz w:val="24"/>
          <w:szCs w:val="24"/>
        </w:rPr>
        <w:t xml:space="preserve">5. Ding Y, Zhang JZ, Yu SR, Xiang F, Kang XJ. Risk factors for infantile hemangioma: a meta-analysis. World Journal of Pediatrics. 2020; 16:377-384.</w:t>
      </w:r>
    </w:p>
    <w:p>
      <w:pPr>
        <w:spacing w:after="240" w:before="0" w:line="480"/>
        <w:ind w:left="480" w:hanging="480"/>
      </w:pPr>
      <w:r>
        <w:rPr>
          <w:rFonts w:ascii="Calibri" w:cs="Calibri" w:eastAsia="Calibri" w:hAnsi="Calibri"/>
          <w:sz w:val="24"/>
          <w:szCs w:val="24"/>
        </w:rPr>
        <w:t xml:space="preserve">6. Haggstrom AN, Drolet BA, Baselga E, Chamlin SL, Garzon MC, Horii KA, et al. Prospective study of infantile hemangiomas: demographic, prenatal, and perinatal characteristics. Journal of Pediatrics. 2007; 150:291-294.</w:t>
      </w:r>
    </w:p>
    <w:p>
      <w:pPr>
        <w:spacing w:after="240" w:before="0" w:line="480"/>
        <w:ind w:left="480" w:hanging="480"/>
      </w:pPr>
      <w:r>
        <w:rPr>
          <w:rFonts w:ascii="Calibri" w:cs="Calibri" w:eastAsia="Calibri" w:hAnsi="Calibri"/>
          <w:sz w:val="24"/>
          <w:szCs w:val="24"/>
        </w:rPr>
        <w:t xml:space="preserve">7. Munden A, Butschek R, Tom WL, Marshall JS, Poeltler DM, Krohne SE, et al. Prospective study of infantile haemangiomas: incidence, clinical characteristics and association with placental anomalies. British Journal of Dermatology. 2014; 170:907-913.</w:t>
      </w:r>
    </w:p>
    <w:p>
      <w:pPr>
        <w:spacing w:after="240" w:before="0" w:line="480"/>
        <w:ind w:left="480" w:hanging="480"/>
      </w:pPr>
      <w:r>
        <w:rPr>
          <w:rFonts w:ascii="Calibri" w:cs="Calibri" w:eastAsia="Calibri" w:hAnsi="Calibri"/>
          <w:sz w:val="24"/>
          <w:szCs w:val="24"/>
        </w:rPr>
        <w:t xml:space="preserve">8. Schoch JJ, Hunjan MK, Anderson KR, Lohse CM, Hand JL, Davis DMR, et al. Temporal trends in prenatal risk factors for the development of infantile hemangiomas. Pediatric Dermatology. 2018; 35:787-791.</w:t>
      </w:r>
    </w:p>
    <w:p>
      <w:pPr>
        <w:spacing w:after="240" w:before="0" w:line="480"/>
        <w:ind w:left="480" w:hanging="480"/>
      </w:pPr>
      <w:r>
        <w:rPr>
          <w:rFonts w:ascii="Calibri" w:cs="Calibri" w:eastAsia="Calibri" w:hAnsi="Calibri"/>
          <w:sz w:val="24"/>
          <w:szCs w:val="24"/>
        </w:rPr>
        <w:t xml:space="preserve">9. North PE, Waner M, Mizeracki A, Mrak RE, Nicholas R, Kincannon J, et al. A unique microvascular phenotype shared by juvenile hemangiomas and human placenta. Archives of Dermatology. 2001; 137:559-570. [FLAG: confirm initials of authors 4 to 6]</w:t>
      </w:r>
    </w:p>
    <w:p>
      <w:pPr>
        <w:spacing w:after="240" w:before="0" w:line="480"/>
        <w:ind w:left="480" w:hanging="480"/>
      </w:pPr>
      <w:r>
        <w:rPr>
          <w:rFonts w:ascii="Calibri" w:cs="Calibri" w:eastAsia="Calibri" w:hAnsi="Calibri"/>
          <w:sz w:val="24"/>
          <w:szCs w:val="24"/>
        </w:rPr>
        <w:t xml:space="preserve">10. Barnés CM, Huang S, Kaipainen A, Sanoudou D, Chen EJ, Eichler GS, et al. Evidence by molecular profiling for a placental origin of infantile hemangioma. Proceedings of the National Academy of Sciences of the United States of America. 2005; 102:19097-19102.</w:t>
      </w:r>
    </w:p>
    <w:p>
      <w:pPr>
        <w:spacing w:after="240" w:before="0" w:line="480"/>
        <w:ind w:left="480" w:hanging="480"/>
      </w:pPr>
      <w:r>
        <w:rPr>
          <w:rFonts w:ascii="Calibri" w:cs="Calibri" w:eastAsia="Calibri" w:hAnsi="Calibri"/>
          <w:sz w:val="24"/>
          <w:szCs w:val="24"/>
        </w:rPr>
        <w:t xml:space="preserve">11. Kleinman ME, Greives MR, Churgin SS, Blechman KM, Chang EI, Ceradini DJ, et al. Hypoxia-induced mediators of stem/progenitor cell trafficking are increased in children with hemangioma. Arteriosclerosis, Thrombosis, and Vascular Biology. 2007; 27:2664-2670.</w:t>
      </w:r>
    </w:p>
    <w:p>
      <w:pPr>
        <w:spacing w:after="240" w:before="0" w:line="480"/>
        <w:ind w:left="480" w:hanging="480"/>
      </w:pPr>
      <w:r>
        <w:rPr>
          <w:rFonts w:ascii="Calibri" w:cs="Calibri" w:eastAsia="Calibri" w:hAnsi="Calibri"/>
          <w:sz w:val="24"/>
          <w:szCs w:val="24"/>
        </w:rPr>
        <w:t xml:space="preserve">12. Harbi S, Wang R, Gregory M, Hanson N, Kobylarz K, Ryan K, et al. Infantile hemangioma originates from a dysregulated but not fully transformed multipotent stem cell. Scientific Reports. 2016; 6:35811.</w:t>
      </w:r>
    </w:p>
    <w:p>
      <w:pPr>
        <w:spacing w:after="240" w:before="0" w:line="480"/>
        <w:ind w:left="480" w:hanging="480"/>
      </w:pPr>
      <w:r>
        <w:rPr>
          <w:rFonts w:ascii="Calibri" w:cs="Calibri" w:eastAsia="Calibri" w:hAnsi="Calibri"/>
          <w:sz w:val="24"/>
          <w:szCs w:val="24"/>
        </w:rPr>
        <w:t xml:space="preserve">13. Colonna V, Resta L, Napoli A, Bonifazi E. Placental hypoxia and neonatal haemangioma: clinical and histological observations. British Journal of Dermatology. 2010; 162:208-209.</w:t>
      </w:r>
    </w:p>
    <w:p>
      <w:pPr>
        <w:spacing w:after="240" w:before="0" w:line="480"/>
        <w:ind w:left="480" w:hanging="480"/>
      </w:pPr>
      <w:r>
        <w:rPr>
          <w:rFonts w:ascii="Calibri" w:cs="Calibri" w:eastAsia="Calibri" w:hAnsi="Calibri"/>
          <w:sz w:val="24"/>
          <w:szCs w:val="24"/>
        </w:rPr>
        <w:t xml:space="preserve">14. Drolet BA, Frieden IJ. Characteristics of infantile hemangiomas as clues to pathogenesis: does hypoxia connect the dots? Archives of Dermatology. 2010; 146:1295-1299.</w:t>
      </w:r>
    </w:p>
    <w:p>
      <w:pPr>
        <w:spacing w:after="240" w:before="0" w:line="480"/>
        <w:ind w:left="480" w:hanging="480"/>
      </w:pPr>
      <w:r>
        <w:rPr>
          <w:rFonts w:ascii="Calibri" w:cs="Calibri" w:eastAsia="Calibri" w:hAnsi="Calibri"/>
          <w:sz w:val="24"/>
          <w:szCs w:val="24"/>
        </w:rPr>
        <w:t xml:space="preserve">15. Khong TY, Mooney EE, Ariel I, Balmus NC, Boyd TK, Brundler MA, et al. Sampling and definitions of placental lesions: Amsterdam Placental Workshop Group consensus statement. Archives of Pathology and Laboratory Medicine. 2016; 140:698-713.</w:t>
      </w:r>
    </w:p>
    <w:p>
      <w:pPr>
        <w:spacing w:after="240" w:before="0" w:line="480"/>
        <w:ind w:left="480" w:hanging="480"/>
      </w:pPr>
      <w:r>
        <w:rPr>
          <w:rFonts w:ascii="Calibri" w:cs="Calibri" w:eastAsia="Calibri" w:hAnsi="Calibri"/>
          <w:sz w:val="24"/>
          <w:szCs w:val="24"/>
        </w:rPr>
        <w:t xml:space="preserve">16. Redline RW, Ravishankar S, Bagby CM, Saab ST, Zarei S. Four major patterns of placental injury: a stepwise guide for understanding and implementing the 2016 Amsterdam consensus. Modern Pathology. 2021; 34:1074-1092.</w:t>
      </w:r>
    </w:p>
    <w:p>
      <w:pPr>
        <w:spacing w:after="240" w:before="0" w:line="480"/>
        <w:ind w:left="480" w:hanging="480"/>
      </w:pPr>
      <w:r>
        <w:rPr>
          <w:rFonts w:ascii="Calibri" w:cs="Calibri" w:eastAsia="Calibri" w:hAnsi="Calibri"/>
          <w:sz w:val="24"/>
          <w:szCs w:val="24"/>
        </w:rPr>
        <w:t xml:space="preserve">17. Goldstein JA, Gallagher K, Beck C, Kumar R, Gernand AD. Maternal-fetal inflammation in the placenta and the developmental origins of health and disease. Frontiers in Immunology. 2020; 11:531543.</w:t>
      </w:r>
    </w:p>
    <w:p>
      <w:pPr>
        <w:spacing w:after="240" w:before="0" w:line="480"/>
        <w:ind w:left="480" w:hanging="480"/>
      </w:pPr>
      <w:r>
        <w:rPr>
          <w:rFonts w:ascii="Calibri" w:cs="Calibri" w:eastAsia="Calibri" w:hAnsi="Calibri"/>
          <w:sz w:val="24"/>
          <w:szCs w:val="24"/>
        </w:rPr>
        <w:t xml:space="preserve">18. López Gutiérrez JC, Avila LF, Sosa G, Patron M. Placental anomalies in children with infantile hemangioma. Pediatric Dermatology. 2007; 24:353-355.</w:t>
      </w:r>
    </w:p>
    <w:p>
      <w:pPr>
        <w:spacing w:after="240" w:before="0" w:line="480"/>
        <w:ind w:left="480" w:hanging="480"/>
      </w:pPr>
      <w:r>
        <w:rPr>
          <w:rFonts w:ascii="Calibri" w:cs="Calibri" w:eastAsia="Calibri" w:hAnsi="Calibri"/>
          <w:sz w:val="24"/>
          <w:szCs w:val="24"/>
        </w:rPr>
        <w:t xml:space="preserve">19. Sirotkina M, Douroudis K, Wahlgren CF, Westgren M, Papadogiannakis N. Exploring the association between chorangioma and infantile haemangioma in singleton and multiple pregnancies: a case-control study in a Swedish tertiary centre. BMJ Open. 2017; 7:e015539.</w:t>
      </w:r>
    </w:p>
    <w:p>
      <w:pPr>
        <w:spacing w:after="240" w:before="0" w:line="480"/>
        <w:ind w:left="480" w:hanging="480"/>
      </w:pPr>
      <w:r>
        <w:rPr>
          <w:rFonts w:ascii="Calibri" w:cs="Calibri" w:eastAsia="Calibri" w:hAnsi="Calibri"/>
          <w:sz w:val="24"/>
          <w:szCs w:val="24"/>
        </w:rPr>
        <w:t xml:space="preserve">20. Redline RW, Faye-Petersen O, Heller D, Qureshi F, Savell V, Vogler C, Society for Pediatric Pathology, Perinatal Section, Amniotic Fluid Infection Nosology Committee. Amniotic infection syndrome: nosology and reproducibility of placental reaction patterns. Pediatric and Developmental Pathology. 2003; 6:435-448.</w:t>
      </w:r>
    </w:p>
    <w:p>
      <w:pPr>
        <w:spacing w:after="240" w:before="0" w:line="480"/>
        <w:ind w:left="480" w:hanging="480"/>
      </w:pPr>
      <w:r>
        <w:rPr>
          <w:rFonts w:ascii="Calibri" w:cs="Calibri" w:eastAsia="Calibri" w:hAnsi="Calibri"/>
          <w:sz w:val="24"/>
          <w:szCs w:val="24"/>
        </w:rPr>
        <w:t xml:space="preserve">21. Rocha ML, Menter T, Zekic Tomas S, Ciolka B, Castro E, Coelho HO, et al. Reproducibility of the Amsterdam consensus criteria for maternal vascular malperfusion (MVM): a multicenter evaluation of perinatal pathologists. Journal of Perinatal Medicine. 2026; 54:811-815.</w:t>
      </w:r>
    </w:p>
    <w:p>
      <w:pPr>
        <w:spacing w:after="240" w:before="0" w:line="480"/>
        <w:ind w:left="480" w:hanging="480"/>
      </w:pPr>
      <w:r>
        <w:rPr>
          <w:rFonts w:ascii="Calibri" w:cs="Calibri" w:eastAsia="Calibri" w:hAnsi="Calibri"/>
          <w:sz w:val="24"/>
          <w:szCs w:val="24"/>
        </w:rPr>
        <w:t xml:space="preserve">22. Misra DP, McNally S, Chen S, Salafia CM. Placental infarcts in the Collaborative Perinatal Project: variable associations infer variable constructs. Placenta. 2020; 99:1-7.</w:t>
      </w:r>
    </w:p>
    <w:p>
      <w:pPr>
        <w:spacing w:after="240" w:before="0" w:line="480"/>
        <w:ind w:left="480" w:hanging="480"/>
      </w:pPr>
      <w:r>
        <w:rPr>
          <w:rFonts w:ascii="Calibri" w:cs="Calibri" w:eastAsia="Calibri" w:hAnsi="Calibri"/>
          <w:sz w:val="24"/>
          <w:szCs w:val="24"/>
        </w:rPr>
        <w:t xml:space="preserve">23. Hardy JB. The Collaborative Perinatal Project: lessons and legacy. Annals of Epidemiology. 2003; 13:303-311.</w:t>
      </w:r>
    </w:p>
    <w:p>
      <w:pPr>
        <w:spacing w:after="240" w:before="0" w:line="480"/>
        <w:ind w:left="480" w:hanging="480"/>
      </w:pPr>
      <w:r>
        <w:rPr>
          <w:rFonts w:ascii="Calibri" w:cs="Calibri" w:eastAsia="Calibri" w:hAnsi="Calibri"/>
          <w:sz w:val="24"/>
          <w:szCs w:val="24"/>
        </w:rPr>
        <w:t xml:space="preserve">24. Klebanoff MA. The Collaborative Perinatal Project: a 50-year retrospective. Paediatric and Perinatal Epidemiology. 2009; 23:2-8.</w:t>
      </w:r>
    </w:p>
    <w:p>
      <w:pPr>
        <w:spacing w:after="240" w:before="0" w:line="480"/>
        <w:ind w:left="480" w:hanging="480"/>
      </w:pPr>
      <w:r>
        <w:rPr>
          <w:rFonts w:ascii="Calibri" w:cs="Calibri" w:eastAsia="Calibri" w:hAnsi="Calibri"/>
          <w:sz w:val="24"/>
          <w:szCs w:val="24"/>
        </w:rPr>
        <w:t xml:space="preserve">25. Freedman AA, Miller GE, Franklin AD, Keenan-Devlin LS, Gilman SE, Borders A, et al. Placental pathology and blood pressure at age 7: a longitudinal discordant twin analysis. Arteriosclerosis, Thrombosis, and Vascular Biology. 2025; 45:312-322.</w:t>
      </w:r>
    </w:p>
    <w:p>
      <w:pPr>
        <w:spacing w:after="240" w:before="0" w:line="480"/>
        <w:ind w:left="480" w:hanging="480"/>
      </w:pPr>
      <w:r>
        <w:rPr>
          <w:rFonts w:ascii="Calibri" w:cs="Calibri" w:eastAsia="Calibri" w:hAnsi="Calibri"/>
          <w:sz w:val="24"/>
          <w:szCs w:val="24"/>
        </w:rPr>
        <w:t xml:space="preserve">26. von Elm E, Altman DG, Egger M, Pocock SJ, Gøtzsche PC, Vandenbroucke JP. The Strengthening the Reporting of Observational Studies in Epidemiology (STROBE) statement: guidelines for reporting observational studies. Lancet. 2007; 370:1453-1457.</w:t>
      </w:r>
    </w:p>
    <w:p>
      <w:pPr>
        <w:spacing w:after="240" w:before="0" w:line="480"/>
        <w:ind w:left="480" w:hanging="480"/>
      </w:pPr>
      <w:r>
        <w:rPr>
          <w:rFonts w:ascii="Calibri" w:cs="Calibri" w:eastAsia="Calibri" w:hAnsi="Calibri"/>
          <w:sz w:val="24"/>
          <w:szCs w:val="24"/>
        </w:rPr>
        <w:t xml:space="preserve">27. Schisterman EF, Cole SR, Platt RW. Overadjustment bias and unnecessary adjustment in epidemiologic studies. Epidemiology. 2009; 20:488-495.</w:t>
      </w:r>
    </w:p>
    <w:p>
      <w:pPr>
        <w:spacing w:after="240" w:before="0" w:line="480"/>
        <w:ind w:left="480" w:hanging="480"/>
      </w:pPr>
      <w:r>
        <w:rPr>
          <w:rFonts w:ascii="Calibri" w:cs="Calibri" w:eastAsia="Calibri" w:hAnsi="Calibri"/>
          <w:sz w:val="24"/>
          <w:szCs w:val="24"/>
        </w:rPr>
        <w:t xml:space="preserve">28. Zou G. A modified Poisson regression approach to prospective studies with binary data. American Journal of Epidemiology. 2004; 159:702-706.</w:t>
      </w:r>
    </w:p>
    <w:p>
      <w:pPr>
        <w:spacing w:after="240" w:before="0" w:line="480"/>
        <w:ind w:left="480" w:hanging="480"/>
      </w:pPr>
      <w:r>
        <w:rPr>
          <w:rFonts w:ascii="Calibri" w:cs="Calibri" w:eastAsia="Calibri" w:hAnsi="Calibri"/>
          <w:sz w:val="24"/>
          <w:szCs w:val="24"/>
        </w:rPr>
        <w:t xml:space="preserve">29. Desai M, Begg MD. A comparison of regression approaches for analyzing clustered data. American Journal of Public Health. 2008; 98:1425-1429.</w:t>
      </w:r>
    </w:p>
    <w:p>
      <w:pPr>
        <w:spacing w:after="240" w:before="0" w:line="480"/>
        <w:ind w:left="480" w:hanging="480"/>
      </w:pPr>
      <w:r>
        <w:rPr>
          <w:rFonts w:ascii="Calibri" w:cs="Calibri" w:eastAsia="Calibri" w:hAnsi="Calibri"/>
          <w:sz w:val="24"/>
          <w:szCs w:val="24"/>
        </w:rPr>
        <w:t xml:space="preserve">30. Knol MJ, VanderWeele TJ. Recommendations for presenting analyses of effect modification and interaction. International Journal of Epidemiology. 2012; 41:514-520.</w:t>
      </w:r>
    </w:p>
    <w:p>
      <w:pPr>
        <w:spacing w:after="240" w:before="0" w:line="480"/>
        <w:ind w:left="480" w:hanging="480"/>
      </w:pPr>
      <w:r>
        <w:rPr>
          <w:rFonts w:ascii="Calibri" w:cs="Calibri" w:eastAsia="Calibri" w:hAnsi="Calibri"/>
          <w:sz w:val="24"/>
          <w:szCs w:val="24"/>
        </w:rPr>
        <w:t xml:space="preserve">31. Hosmer DW, Lemeshow S. Confidence interval estimation of interaction. Epidemiology. 1992; 3:452-456.</w:t>
      </w:r>
    </w:p>
    <w:p>
      <w:pPr>
        <w:spacing w:after="240" w:before="0" w:line="480"/>
        <w:ind w:left="480" w:hanging="480"/>
      </w:pPr>
      <w:r>
        <w:rPr>
          <w:rFonts w:ascii="Calibri" w:cs="Calibri" w:eastAsia="Calibri" w:hAnsi="Calibri"/>
          <w:sz w:val="24"/>
          <w:szCs w:val="24"/>
        </w:rPr>
        <w:t xml:space="preserve">32. VanderWeele TJ, Ding P. Sensitivity analysis in observational research: introducing the E-value. Annals of Internal Medicine. 2017; 167:268-274.</w:t>
      </w:r>
    </w:p>
    <w:p>
      <w:pPr>
        <w:spacing w:after="240" w:before="0" w:line="480"/>
        <w:ind w:left="480" w:hanging="480"/>
      </w:pPr>
      <w:r>
        <w:rPr>
          <w:rFonts w:ascii="Calibri" w:cs="Calibri" w:eastAsia="Calibri" w:hAnsi="Calibri"/>
          <w:sz w:val="24"/>
          <w:szCs w:val="24"/>
        </w:rPr>
        <w:t xml:space="preserve">33. van Buuren S, Groothuis-Oudshoorn K. mice: multivariate imputation by chained equations in R. Journal of Statistical Software. 2011; 45:1-67.</w:t>
      </w:r>
    </w:p>
    <w:p>
      <w:pPr>
        <w:spacing w:after="240" w:before="0" w:line="480"/>
        <w:ind w:left="480" w:hanging="480"/>
      </w:pPr>
      <w:r>
        <w:rPr>
          <w:rFonts w:ascii="Calibri" w:cs="Calibri" w:eastAsia="Calibri" w:hAnsi="Calibri"/>
          <w:sz w:val="24"/>
          <w:szCs w:val="24"/>
        </w:rPr>
        <w:t xml:space="preserve">34. Rubin DB. Multiple Imputation for Nonresponse in Surveys. John Wiley &amp; Sons; 1987.</w:t>
      </w:r>
    </w:p>
    <w:p>
      <w:pPr>
        <w:spacing w:after="240" w:before="0" w:line="480"/>
        <w:ind w:left="480" w:hanging="480"/>
      </w:pPr>
      <w:r>
        <w:rPr>
          <w:rFonts w:ascii="Calibri" w:cs="Calibri" w:eastAsia="Calibri" w:hAnsi="Calibri"/>
          <w:sz w:val="24"/>
          <w:szCs w:val="24"/>
        </w:rPr>
        <w:t xml:space="preserve">35. Hernán MA, Hernández-Díaz S, Robins JM. A structural approach to selection bias. Epidemiology. 2004; 15:615-625.</w:t>
      </w:r>
    </w:p>
    <w:p>
      <w:pPr>
        <w:spacing w:after="240" w:before="0" w:line="480"/>
        <w:ind w:left="480" w:hanging="480"/>
      </w:pPr>
      <w:r>
        <w:rPr>
          <w:rFonts w:ascii="Calibri" w:cs="Calibri" w:eastAsia="Calibri" w:hAnsi="Calibri"/>
          <w:sz w:val="24"/>
          <w:szCs w:val="24"/>
        </w:rPr>
        <w:t xml:space="preserve">36. Cole SR, Hernán MA. Constructing inverse probability weights for marginal structural models. American Journal of Epidemiology. 2008; 168:656-664.</w:t>
      </w:r>
    </w:p>
    <w:p>
      <w:pPr>
        <w:spacing w:after="240" w:before="0" w:line="480"/>
        <w:ind w:left="480" w:hanging="480"/>
      </w:pPr>
      <w:r>
        <w:rPr>
          <w:rFonts w:ascii="Calibri" w:cs="Calibri" w:eastAsia="Calibri" w:hAnsi="Calibri"/>
          <w:sz w:val="24"/>
          <w:szCs w:val="24"/>
        </w:rPr>
        <w:t xml:space="preserve">37. Young JG, Stensrud MJ, Tchetgen Tchetgen EJ, Hernán MA. A causal framework for classical statistical estimands in failure-time settings with competing events. Statistics in Medicine. 2020; 39:1199-1236.</w:t>
      </w:r>
    </w:p>
    <w:p>
      <w:pPr>
        <w:spacing w:after="240" w:before="0" w:line="480"/>
        <w:ind w:left="480" w:hanging="480"/>
      </w:pPr>
      <w:r>
        <w:rPr>
          <w:rFonts w:ascii="Calibri" w:cs="Calibri" w:eastAsia="Calibri" w:hAnsi="Calibri"/>
          <w:sz w:val="24"/>
          <w:szCs w:val="24"/>
        </w:rPr>
        <w:t xml:space="preserve">38. Freedman AA, Miller GE, Keenan-Devlin LS, Smart BP, Romero J, Borders A, et al. Adverse pregnancy outcomes following the assassination of John F. Kennedy in 1963. Maternal and Child Health Journal. 2021; 25:1455-1464.</w:t>
      </w:r>
    </w:p>
    <w:p>
      <w:pPr>
        <w:spacing w:after="240" w:before="0" w:line="480"/>
        <w:ind w:left="480" w:hanging="480"/>
      </w:pPr>
      <w:r>
        <w:rPr>
          <w:rFonts w:ascii="Calibri" w:cs="Calibri" w:eastAsia="Calibri" w:hAnsi="Calibri"/>
          <w:sz w:val="24"/>
          <w:szCs w:val="24"/>
        </w:rPr>
        <w:t xml:space="preserve">39. Chiesa Fuxench ZC, Mitra N, Wong J, Hoffstad O, Hinkle S, Margolis DJ. Maternal history of angioma is associated with infantile hemangioma and port-wine stain in children: a population-based, cohort study of mother-child pairs from the United Kingdom. Archives of Dermatological Research. 2024; 316:506.</w:t>
      </w:r>
    </w:p>
    <w:p>
      <w:pPr>
        <w:spacing w:after="240" w:before="0" w:line="480"/>
        <w:ind w:left="480" w:hanging="480"/>
      </w:pPr>
      <w:r>
        <w:rPr>
          <w:rFonts w:ascii="Calibri" w:cs="Calibri" w:eastAsia="Calibri" w:hAnsi="Calibri"/>
          <w:sz w:val="24"/>
          <w:szCs w:val="24"/>
        </w:rPr>
        <w:t xml:space="preserve">40. Freedman AA, Suresh S, Ernst LM. Patterns of placental pathology associated with preeclampsia. Placenta. 2023; 139:85-91.</w:t>
      </w:r>
    </w:p>
    <w:p>
      <w:pPr>
        <w:spacing w:after="240" w:before="0" w:line="480"/>
        <w:ind w:left="480" w:hanging="480"/>
      </w:pPr>
      <w:r>
        <w:rPr>
          <w:rFonts w:ascii="Calibri" w:cs="Calibri" w:eastAsia="Calibri" w:hAnsi="Calibri"/>
          <w:sz w:val="24"/>
          <w:szCs w:val="24"/>
        </w:rPr>
        <w:t xml:space="preserve">41. Wong JJ, Chakraborti Y, Caniglia EC, Margolis DJ, Schisterman EF, Mumford SL, et al. Association between hypertensive disorders of pregnancy and infantile vascular anomalies in the Collaborative Perinatal Project. AJE Advances: Research in Epidemiology. 2026; 2:uuag016.</w:t>
      </w:r>
    </w:p>
    <w:p>
      <w:pPr>
        <w:spacing w:after="240" w:before="0" w:line="480"/>
        <w:ind w:left="480" w:hanging="480"/>
      </w:pPr>
      <w:r>
        <w:rPr>
          <w:rFonts w:ascii="Calibri" w:cs="Calibri" w:eastAsia="Calibri" w:hAnsi="Calibri"/>
          <w:sz w:val="24"/>
          <w:szCs w:val="24"/>
        </w:rPr>
        <w:t xml:space="preserve">42. Auger N, Fraser WD, Arbour L, Healy-Profitós J, Drolet BA. Pre-eclampsia and risk of infantile haemangioma. British Journal of Dermatology. 2017; 176:371-377.</w:t>
      </w:r>
    </w:p>
    <w:p>
      <w:pPr>
        <w:spacing w:after="240" w:before="0" w:line="480"/>
        <w:ind w:left="480" w:hanging="480"/>
      </w:pPr>
      <w:r>
        <w:rPr>
          <w:rFonts w:ascii="Calibri" w:cs="Calibri" w:eastAsia="Calibri" w:hAnsi="Calibri"/>
          <w:sz w:val="24"/>
          <w:szCs w:val="24"/>
        </w:rPr>
        <w:t xml:space="preserve">43. Baker BC, Heazell AEP, Sibley C, Wright R, Bischof H, Beards F, et al. Hypoxia and oxidative stress induce sterile placental inflammation in vitro. Scientific Reports. 2021; 11:7281.</w:t>
      </w:r>
    </w:p>
    <w:p>
      <w:pPr>
        <w:spacing w:after="240" w:before="0" w:line="480"/>
        <w:ind w:left="480" w:hanging="480"/>
      </w:pPr>
      <w:r>
        <w:rPr>
          <w:rFonts w:ascii="Calibri" w:cs="Calibri" w:eastAsia="Calibri" w:hAnsi="Calibri"/>
          <w:sz w:val="24"/>
          <w:szCs w:val="24"/>
        </w:rPr>
        <w:t xml:space="preserve">44. Gotsch F, Romero R, Kusanovic JP, Mazaki-Tovi S, Pineles BL, Erez O, et al. The fetal inflammatory response syndrome. Clinical Obstetrics and Gynecology. 2007; 50:652-683.</w:t>
      </w:r>
    </w:p>
    <w:p>
      <w:pPr>
        <w:sectPr>
          <w:footerReference w:type="default" r:id="rId6"/>
          <w:pgSz w:w="12240" w:h="15840" w:orient="portrait"/>
          <w:pgMar w:top="1440" w:right="1440" w:bottom="1440" w:left="1440" w:header="708" w:footer="708" w:gutter="0"/>
          <w:pgNumType/>
          <w:docGrid w:linePitch="360"/>
        </w:sectPr>
      </w:pPr>
    </w:p>
    <w:p>
      <w:pPr>
        <w:keepNext/>
        <w:spacing w:after="120" w:before="0" w:line="276"/>
      </w:pPr>
      <w:r>
        <w:rPr>
          <w:rFonts w:ascii="Calibri" w:cs="Calibri" w:eastAsia="Calibri" w:hAnsi="Calibri"/>
          <w:b/>
          <w:bCs/>
          <w:sz w:val="22"/>
          <w:szCs w:val="22"/>
        </w:rPr>
        <w:t xml:space="preserve">TABLE 1 </w:t>
      </w:r>
      <w:r>
        <w:rPr>
          <w:rFonts w:ascii="Calibri" w:cs="Calibri" w:eastAsia="Calibri" w:hAnsi="Calibri"/>
          <w:sz w:val="22"/>
          <w:szCs w:val="22"/>
        </w:rPr>
        <w:t xml:space="preserve">Characteristics of 45,268 singleton pregnancies in the Collaborative Perinatal Project, overall and by placental maternal vascular malperfusion (MVM) and acute inflammation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1280"/>
        <w:gridCol w:w="1280"/>
        <w:gridCol w:w="1280"/>
        <w:gridCol w:w="1280"/>
        <w:gridCol w:w="1280"/>
      </w:tblGrid>
      <w:tr>
        <w:trPr>
          <w:tblHeader/>
        </w:trPr>
        <w:tc>
          <w:tcPr>
            <w:tcW w:type="dxa" w:w="296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left"/>
            </w:pPr>
            <w:r>
              <w:rPr>
                <w:rFonts w:ascii="Calibri" w:cs="Calibri" w:eastAsia="Calibri" w:hAnsi="Calibri"/>
                <w:b/>
                <w:bCs/>
                <w:sz w:val="18"/>
                <w:szCs w:val="18"/>
              </w:rPr>
              <w:t xml:space="preserve">Characteristic</w:t>
            </w:r>
          </w:p>
        </w:tc>
        <w:tc>
          <w:tcPr>
            <w:tcW w:type="dxa" w:w="128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b/>
                <w:bCs/>
                <w:sz w:val="18"/>
                <w:szCs w:val="18"/>
              </w:rPr>
              <w:t xml:space="preserve">Overall</w:t>
            </w:r>
          </w:p>
          <w:p>
            <w:pPr>
              <w:spacing w:line="240"/>
              <w:jc w:val="center"/>
            </w:pPr>
            <w:r>
              <w:rPr>
                <w:rFonts w:ascii="Calibri" w:cs="Calibri" w:eastAsia="Calibri" w:hAnsi="Calibri"/>
                <w:b/>
                <w:bCs/>
                <w:sz w:val="18"/>
                <w:szCs w:val="18"/>
              </w:rPr>
              <w:t xml:space="preserve">n = 45,268</w:t>
            </w:r>
          </w:p>
        </w:tc>
        <w:tc>
          <w:tcPr>
            <w:tcW w:type="dxa" w:w="128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b/>
                <w:bCs/>
                <w:sz w:val="18"/>
                <w:szCs w:val="18"/>
              </w:rPr>
              <w:t xml:space="preserve">No MVM</w:t>
            </w:r>
          </w:p>
          <w:p>
            <w:pPr>
              <w:spacing w:line="240"/>
              <w:jc w:val="center"/>
            </w:pPr>
            <w:r>
              <w:rPr>
                <w:rFonts w:ascii="Calibri" w:cs="Calibri" w:eastAsia="Calibri" w:hAnsi="Calibri"/>
                <w:b/>
                <w:bCs/>
                <w:sz w:val="18"/>
                <w:szCs w:val="18"/>
              </w:rPr>
              <w:t xml:space="preserve">n = 32,149</w:t>
            </w:r>
          </w:p>
        </w:tc>
        <w:tc>
          <w:tcPr>
            <w:tcW w:type="dxa" w:w="128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b/>
                <w:bCs/>
                <w:sz w:val="18"/>
                <w:szCs w:val="18"/>
              </w:rPr>
              <w:t xml:space="preserve">Any MVM</w:t>
            </w:r>
          </w:p>
          <w:p>
            <w:pPr>
              <w:spacing w:line="240"/>
              <w:jc w:val="center"/>
            </w:pPr>
            <w:r>
              <w:rPr>
                <w:rFonts w:ascii="Calibri" w:cs="Calibri" w:eastAsia="Calibri" w:hAnsi="Calibri"/>
                <w:b/>
                <w:bCs/>
                <w:sz w:val="18"/>
                <w:szCs w:val="18"/>
              </w:rPr>
              <w:t xml:space="preserve">n = 13,119</w:t>
            </w:r>
          </w:p>
        </w:tc>
        <w:tc>
          <w:tcPr>
            <w:tcW w:type="dxa" w:w="128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b/>
                <w:bCs/>
                <w:sz w:val="18"/>
                <w:szCs w:val="18"/>
              </w:rPr>
              <w:t xml:space="preserve">No AI</w:t>
            </w:r>
          </w:p>
          <w:p>
            <w:pPr>
              <w:spacing w:line="240"/>
              <w:jc w:val="center"/>
            </w:pPr>
            <w:r>
              <w:rPr>
                <w:rFonts w:ascii="Calibri" w:cs="Calibri" w:eastAsia="Calibri" w:hAnsi="Calibri"/>
                <w:b/>
                <w:bCs/>
                <w:sz w:val="18"/>
                <w:szCs w:val="18"/>
              </w:rPr>
              <w:t xml:space="preserve">n = 35,080</w:t>
            </w:r>
          </w:p>
        </w:tc>
        <w:tc>
          <w:tcPr>
            <w:tcW w:type="dxa" w:w="128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b/>
                <w:bCs/>
                <w:sz w:val="18"/>
                <w:szCs w:val="18"/>
              </w:rPr>
              <w:t xml:space="preserve">Any AI</w:t>
            </w:r>
          </w:p>
          <w:p>
            <w:pPr>
              <w:spacing w:line="240"/>
              <w:jc w:val="center"/>
            </w:pPr>
            <w:r>
              <w:rPr>
                <w:rFonts w:ascii="Calibri" w:cs="Calibri" w:eastAsia="Calibri" w:hAnsi="Calibri"/>
                <w:b/>
                <w:bCs/>
                <w:sz w:val="18"/>
                <w:szCs w:val="18"/>
              </w:rPr>
              <w:t xml:space="preserve">n = 10,188</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Maternal age, years, mean (SD)</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24.3 (6.0)</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24.2 (5.9)</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24.5 (6.1)</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24.1 (5.9)</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24.7 (6.1)</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Pre-pregnancy BMI, kg/m&lt;c2&gt;&lt;b2&gt;, mean (SD)</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22.8 (4.3)</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22.8 (4.3)</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22.7 (4.4)</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22.7 (4.2)</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23.0 (4.5)</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Missing</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3,936</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2,697</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1,239</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2,954</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982</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Race and ethnicity</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White</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48.2% (21,811)</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47.8% (15,355)</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49.2% (6,456)</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47.0% (16,486)</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52.3% (5,325)</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Black</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43.8% (19,827)</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43.8% (14,074)</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43.9% (5,753)</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44.4% (15,581)</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41.7% (4,246)</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Puerto Rican</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7.0% (3,167)</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7.4% (2,374)</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6.0% (793)</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7.6% (2,662)</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5.0% (505)</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Other</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 (463)</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1.1% (346)</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0.9% (117)</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 (351)</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1.1% (112)</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Education</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Less than high school</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17.3% (7,712)</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16.3% (5,171)</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19.7% (2,541)</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17.1% (5,931)</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17.8% (1,781)</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Some high school</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39.6% (17,671)</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39.7% (12,611)</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39.3% (5,060)</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39.7% (13,758)</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39.1% (3,913)</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High school graduate</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30.6% (13,672)</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31.1% (9,888)</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29.4% (3,784)</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30.7% (10,616)</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30.5% (3,056)</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Some college or more</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12.5% (5,571)</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12.9% (4,088)</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11.5% (1,483)</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12.5% (4,312)</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12.6% (1,259)</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Missing</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642</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391</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251</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463</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179</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Family income, per year</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$1,999 or less</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0.3% (133)</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0.3% (96)</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0.3% (37)</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0.3% (100)</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0.3% (33)</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$2,000 to $3,999</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13.8% (5,865)</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13.4% (4,043)</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14.9% (1,822)</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14.1% (4,640)</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12.9% (1,225)</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$4,000 to $5,999</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43.0% (18,219)</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43.0% (12,996)</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42.8% (5,223)</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43.3% (14,250)</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41.7% (3,969)</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$6,000 to $7,999</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24.6% (10,435)</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24.7% (7,451)</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24.5% (2,984)</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24.3% (7,985)</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25.7% (2,450)</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$8,000 to $9,999</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11.3% (4,800)</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11.5% (3,485)</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10.8% (1,315)</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11.1% (3,641)</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12.2% (1,159)</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$10,000 to $14,999</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4.1% (1,748)</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4.2% (1,257)</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4.0% (491)</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4.0% (1,320)</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4.5% (428)</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$15,000 or more</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2.8% (1,203)</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2.9% (883)</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2.6% (320)</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2.9% (948)</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2.7% (255)</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Missing</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2,865</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1,938</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927</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2,196</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669</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Marital status</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Married or common law</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77.7% (35,160)</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77.4% (24,896)</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78.2% (10,264)</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77.7% (27,266)</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77.5% (7,894)</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Single</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14.0% (6,331)</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14.2% (4,565)</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13.5% (1,766)</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14.1% (4,962)</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13.4% (1,369)</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Widowed, divorced, or separated</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8.3% (3,776)</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8.4% (2,687)</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8.3% (1,089)</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8.1% (2,851)</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9.1% (925)</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Missing</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0</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0</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Smoking during pregnancy</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Non-smoker</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52.0% (23,348)</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51.6% (16,481)</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53.0% (6,867)</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53.0% (18,452)</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48.5% (4,896)</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1 to 19 cigarettes per day</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30.6% (13,733)</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30.9% (9,893)</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29.6% (3,840)</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30.5% (10,607)</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31.0% (3,126)</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20 or more cigarettes per day</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17.5% (7,845)</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17.5% (5,591)</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17.4% (2,254)</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16.6% (5,774)</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20.5% (2,071)</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Missing</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342</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184</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158</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247</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95</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Parity</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0</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30.0% (13,429)</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30.6% (9,739)</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28.4% (3,690)</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29.6% (10,261)</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31.4% (3,168)</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1</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22.8% (10,220)</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23.0% (7,307)</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22.4% (2,913)</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23.6% (8,196)</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20.1% (2,024)</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2</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16.3% (7,282)</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16.3% (5,187)</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16.1% (2,095)</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16.5% (5,727)</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15.4% (1,555)</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3</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11.2% (5,020)</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11.1% (3,529)</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11.5% (1,491)</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11.2% (3,905)</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11.1% (1,115)</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4 or more</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19.8% (8,848)</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19.0% (6,051)</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21.5% (2,797)</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19.1% (6,625)</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22.0% (2,223)</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Missing</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469</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336</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133</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366</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103</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Pre-pregnancy diabetes</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No</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98.4% (44,552)</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98.7% (31,715)</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97.9% (12,837)</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98.3% (34,490)</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98.8% (10,062)</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Yes</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1.6% (709)</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1.3% (429)</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2.1% (280)</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1.7% (585)</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1.2% (124)</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Missing</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7</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5</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5</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Chronic hypertension</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No</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94.2% (42,621)</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94.4% (30,334)</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93.7% (12,287)</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94.2% (33,035)</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94.1% (9,586)</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Yes</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5.8% (2,640)</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5.6% (1,808)</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6.3% (832)</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5.8% (2,040)</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5.9% (600)</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Missing</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7</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7</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0</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5</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Infant sex</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Female</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49.1% (22,214)</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49.5% (15,909)</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48.1% (6,305)</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49.8% (17,480)</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46.6% (4,734)</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Male</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50.9% (23,023)</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50.5% (16,231)</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51.9% (6,792)</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50.2% (17,588)</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53.4% (5,435)</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Missing</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31</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9</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22</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12</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19</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Perinatal characteristics (not adjusted for)</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Gestational age at delivery, weeks, mean (SD)</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39.2 (3.6)</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39.4 (3.3)</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38.5 (4.4)</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39.2 (3.4)</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38.9 (4.4)</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Missing</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224</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152</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72</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170</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54</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Preterm birth (&lt;37 weeks)</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No</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85.4% (38,471)</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87.6% (28,025)</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80.1% (10,446)</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86.3% (30,140)</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82.2% (8,331)</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Yes</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14.6% (6,573)</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12.4% (3,972)</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19.9% (2,601)</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13.7% (4,770)</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17.8% (1,803)</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Missing</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224</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152</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72</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170</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54</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Birthweight, g, mean (SD)</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3143 (612)</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3206 (531)</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2988 (753)</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3162 (561)</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3077 (758)</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Missing</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52</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25</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27</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29</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23</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Small for gestational age infant</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No</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91.3% (41,263)</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92.6% (29,732)</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88.1% (11,531)</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91.7% (32,123)</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90.0% (9,140)</w:t>
            </w:r>
          </w:p>
        </w:tc>
      </w:tr>
      <w:tr>
        <w:trPr>
          <w:cantSplit/>
        </w:trPr>
        <w:tc>
          <w:tcPr>
            <w:tcW w:type="dxa" w:w="2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Yes</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8.7% (3,941)</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7.4% (2,387)</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11.9% (1,554)</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8.3% (2,920)</w:t>
            </w:r>
          </w:p>
        </w:tc>
        <w:tc>
          <w:tcPr>
            <w:tcW w:type="dxa" w:w="12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10.0% (1,021)</w:t>
            </w:r>
          </w:p>
        </w:tc>
      </w:tr>
      <w:tr>
        <w:trPr>
          <w:cantSplit/>
        </w:trPr>
        <w:tc>
          <w:tcPr>
            <w:tcW w:type="dxa" w:w="296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Missing</w:t>
            </w:r>
          </w:p>
        </w:tc>
        <w:tc>
          <w:tcPr>
            <w:tcW w:type="dxa" w:w="128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64</w:t>
            </w:r>
          </w:p>
        </w:tc>
        <w:tc>
          <w:tcPr>
            <w:tcW w:type="dxa" w:w="128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30</w:t>
            </w:r>
          </w:p>
        </w:tc>
        <w:tc>
          <w:tcPr>
            <w:tcW w:type="dxa" w:w="128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34</w:t>
            </w:r>
          </w:p>
        </w:tc>
        <w:tc>
          <w:tcPr>
            <w:tcW w:type="dxa" w:w="128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37</w:t>
            </w:r>
          </w:p>
        </w:tc>
        <w:tc>
          <w:tcPr>
            <w:tcW w:type="dxa" w:w="128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27</w:t>
            </w:r>
          </w:p>
        </w:tc>
      </w:tr>
    </w:tbl>
    <w:p>
      <w:pPr>
        <w:spacing w:after="120" w:before="60" w:line="240"/>
      </w:pPr>
      <w:r>
        <w:rPr>
          <w:rFonts w:ascii="Calibri" w:cs="Calibri" w:eastAsia="Calibri" w:hAnsi="Calibri"/>
          <w:sz w:val="18"/>
          <w:szCs w:val="18"/>
        </w:rPr>
        <w:t xml:space="preserve">Values are % (n) unless stated otherwise. Percentages exclude missing values, and the number missing is shown for each characteristic. Perinatal characteristics are shown for description only and were not included in multivariable models. BMI, body mass index. SD, standard deviation.</w:t>
      </w:r>
    </w:p>
    <w:p>
      <w:r>
        <w:br w:type="page"/>
      </w:r>
    </w:p>
    <w:p>
      <w:pPr>
        <w:keepNext/>
        <w:spacing w:after="120" w:before="0" w:line="276"/>
      </w:pPr>
      <w:r>
        <w:rPr>
          <w:rFonts w:ascii="Calibri" w:cs="Calibri" w:eastAsia="Calibri" w:hAnsi="Calibri"/>
          <w:b/>
          <w:bCs/>
          <w:sz w:val="22"/>
          <w:szCs w:val="22"/>
        </w:rPr>
        <w:t xml:space="preserve">TABLE 2 </w:t>
      </w:r>
      <w:r>
        <w:rPr>
          <w:rFonts w:ascii="Calibri" w:cs="Calibri" w:eastAsia="Calibri" w:hAnsi="Calibri"/>
          <w:sz w:val="22"/>
          <w:szCs w:val="22"/>
        </w:rPr>
        <w:t xml:space="preserve">Associations of placental maternal vascular malperfusion (MVM) and acute inflammation (AI) with definite infantile haemangioma (IH) by 12 months of age (700 cases among 40,700 infants).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800"/>
        <w:gridCol w:w="1600"/>
        <w:gridCol w:w="1600"/>
        <w:gridCol w:w="1600"/>
      </w:tblGrid>
      <w:tr>
        <w:trPr>
          <w:tblHeader/>
        </w:trPr>
        <w:tc>
          <w:tcPr>
            <w:tcW w:type="dxa" w:w="276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left"/>
            </w:pPr>
            <w:r>
              <w:rPr>
                <w:rFonts w:ascii="Calibri" w:cs="Calibri" w:eastAsia="Calibri" w:hAnsi="Calibri"/>
                <w:b/>
                <w:bCs/>
                <w:sz w:val="18"/>
                <w:szCs w:val="18"/>
              </w:rPr>
              <w:t xml:space="preserve">Placental exposure</w:t>
            </w:r>
          </w:p>
        </w:tc>
        <w:tc>
          <w:tcPr>
            <w:tcW w:type="dxa" w:w="18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b/>
                <w:bCs/>
                <w:sz w:val="18"/>
                <w:szCs w:val="18"/>
              </w:rPr>
              <w:t xml:space="preserve">IH, % (cases/N)</w:t>
            </w:r>
          </w:p>
        </w:tc>
        <w:tc>
          <w:tcPr>
            <w:tcW w:type="dxa" w:w="16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b/>
                <w:bCs/>
                <w:sz w:val="18"/>
                <w:szCs w:val="18"/>
              </w:rPr>
              <w:t xml:space="preserve">Crude</w:t>
            </w:r>
          </w:p>
          <w:p>
            <w:pPr>
              <w:spacing w:line="240"/>
              <w:jc w:val="center"/>
            </w:pPr>
            <w:r>
              <w:rPr>
                <w:rFonts w:ascii="Calibri" w:cs="Calibri" w:eastAsia="Calibri" w:hAnsi="Calibri"/>
                <w:b/>
                <w:bCs/>
                <w:sz w:val="18"/>
                <w:szCs w:val="18"/>
              </w:rPr>
              <w:t xml:space="preserve">RR (95% CI)</w:t>
            </w:r>
          </w:p>
        </w:tc>
        <w:tc>
          <w:tcPr>
            <w:tcW w:type="dxa" w:w="16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b/>
                <w:bCs/>
                <w:sz w:val="18"/>
                <w:szCs w:val="18"/>
              </w:rPr>
              <w:t xml:space="preserve">Primary</w:t>
            </w:r>
            <w:r>
              <w:rPr>
                <w:rFonts w:ascii="Calibri" w:cs="Calibri" w:eastAsia="Calibri" w:hAnsi="Calibri"/>
                <w:b/>
                <w:bCs/>
                <w:sz w:val="18"/>
                <w:szCs w:val="18"/>
                <w:vertAlign w:val="superscript"/>
              </w:rPr>
              <w:t xml:space="preserve">a</w:t>
            </w:r>
          </w:p>
          <w:p>
            <w:pPr>
              <w:spacing w:line="240"/>
              <w:jc w:val="center"/>
            </w:pPr>
            <w:r>
              <w:rPr>
                <w:rFonts w:ascii="Calibri" w:cs="Calibri" w:eastAsia="Calibri" w:hAnsi="Calibri"/>
                <w:b/>
                <w:bCs/>
                <w:sz w:val="18"/>
                <w:szCs w:val="18"/>
              </w:rPr>
              <w:t xml:space="preserve">RR (95% CI)</w:t>
            </w:r>
          </w:p>
        </w:tc>
        <w:tc>
          <w:tcPr>
            <w:tcW w:type="dxa" w:w="16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b/>
                <w:bCs/>
                <w:sz w:val="18"/>
                <w:szCs w:val="18"/>
              </w:rPr>
              <w:t xml:space="preserve">Secondary</w:t>
            </w:r>
            <w:r>
              <w:rPr>
                <w:rFonts w:ascii="Calibri" w:cs="Calibri" w:eastAsia="Calibri" w:hAnsi="Calibri"/>
                <w:b/>
                <w:bCs/>
                <w:sz w:val="18"/>
                <w:szCs w:val="18"/>
                <w:vertAlign w:val="superscript"/>
              </w:rPr>
              <w:t xml:space="preserve">b</w:t>
            </w:r>
          </w:p>
          <w:p>
            <w:pPr>
              <w:spacing w:line="240"/>
              <w:jc w:val="center"/>
            </w:pPr>
            <w:r>
              <w:rPr>
                <w:rFonts w:ascii="Calibri" w:cs="Calibri" w:eastAsia="Calibri" w:hAnsi="Calibri"/>
                <w:b/>
                <w:bCs/>
                <w:sz w:val="18"/>
                <w:szCs w:val="18"/>
              </w:rPr>
              <w:t xml:space="preserve">RR (95% CI)</w:t>
            </w:r>
          </w:p>
        </w:tc>
      </w:tr>
      <w:tr>
        <w:trPr>
          <w:cantSplit/>
        </w:trPr>
        <w:tc>
          <w:tcPr>
            <w:tcW w:type="dxa" w:w="27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Joint MVM and AI</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r>
      <w:tr>
        <w:trPr>
          <w:cantSplit/>
        </w:trPr>
        <w:tc>
          <w:tcPr>
            <w:tcW w:type="dxa" w:w="27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Neither</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1.6% (364/23,391)</w:t>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1.00 (Reference)</w:t>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1.00 (Reference)</w:t>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1.00 (Reference)</w:t>
            </w:r>
          </w:p>
        </w:tc>
      </w:tr>
      <w:tr>
        <w:trPr>
          <w:cantSplit/>
        </w:trPr>
        <w:tc>
          <w:tcPr>
            <w:tcW w:type="dxa" w:w="27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MVM only</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1.8% (155/8,429)</w:t>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1.18 (0.98, 1.42)</w:t>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1.08 (0.89, 1.32)</w:t>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1.18 (0.98, 1.42)</w:t>
            </w:r>
          </w:p>
        </w:tc>
      </w:tr>
      <w:tr>
        <w:trPr>
          <w:cantSplit/>
        </w:trPr>
        <w:tc>
          <w:tcPr>
            <w:tcW w:type="dxa" w:w="27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AI only</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1.9% (111/5,985)</w:t>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1.19 (0.96, 1.47)</w:t>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1.07 (0.86, 1.32)</w:t>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1.11 (0.90, 1.37)</w:t>
            </w:r>
          </w:p>
        </w:tc>
      </w:tr>
      <w:tr>
        <w:trPr>
          <w:cantSplit/>
        </w:trPr>
        <w:tc>
          <w:tcPr>
            <w:tcW w:type="dxa" w:w="27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Both MVM and AI</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2.4% (70/2,895)</w:t>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1.55 (1.20, 1.99)</w:t>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1.37 (1.05, 1.79)</w:t>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1.57 (1.22, 2.02)</w:t>
            </w:r>
          </w:p>
        </w:tc>
      </w:tr>
      <w:tr>
        <w:trPr>
          <w:cantSplit/>
        </w:trPr>
        <w:tc>
          <w:tcPr>
            <w:tcW w:type="dxa" w:w="27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Maternal vascular malperfusion</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r>
      <w:tr>
        <w:trPr>
          <w:cantSplit/>
        </w:trPr>
        <w:tc>
          <w:tcPr>
            <w:tcW w:type="dxa" w:w="27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None</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1.6% (475/29,376)</w:t>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1.00 (Reference)</w:t>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1.00 (Reference)</w:t>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1.00 (Reference)</w:t>
            </w:r>
          </w:p>
        </w:tc>
      </w:tr>
      <w:tr>
        <w:trPr>
          <w:cantSplit/>
        </w:trPr>
        <w:tc>
          <w:tcPr>
            <w:tcW w:type="dxa" w:w="27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Any</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2.0% (225/11,324)</w:t>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1.22 (1.05, 1.43)</w:t>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1.14 (0.96, 1.35)</w:t>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1.25 (1.07, 1.46)</w:t>
            </w:r>
          </w:p>
        </w:tc>
      </w:tr>
      <w:tr>
        <w:trPr>
          <w:cantSplit/>
        </w:trPr>
        <w:tc>
          <w:tcPr>
            <w:tcW w:type="dxa" w:w="27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Score, per point</w:t>
            </w:r>
            <w:r>
              <w:rPr>
                <w:rFonts w:ascii="Calibri" w:cs="Calibri" w:eastAsia="Calibri" w:hAnsi="Calibri"/>
                <w:sz w:val="18"/>
                <w:szCs w:val="18"/>
                <w:vertAlign w:val="superscript"/>
              </w:rPr>
              <w:t xml:space="preserve">c</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1.09 (1.01, 1.18)</w:t>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1.05 (0.97, 1.15)</w:t>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1.12 (1.03, 1.21)</w:t>
            </w:r>
          </w:p>
        </w:tc>
      </w:tr>
      <w:tr>
        <w:trPr>
          <w:cantSplit/>
        </w:trPr>
        <w:tc>
          <w:tcPr>
            <w:tcW w:type="dxa" w:w="27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Acute inflammation</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r>
      <w:tr>
        <w:trPr>
          <w:cantSplit/>
        </w:trPr>
        <w:tc>
          <w:tcPr>
            <w:tcW w:type="dxa" w:w="27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None</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1.6% (519/31,820)</w:t>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1.00 (Reference)</w:t>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1.00 (Reference)</w:t>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1.00 (Reference)</w:t>
            </w:r>
          </w:p>
        </w:tc>
      </w:tr>
      <w:tr>
        <w:trPr>
          <w:cantSplit/>
        </w:trPr>
        <w:tc>
          <w:tcPr>
            <w:tcW w:type="dxa" w:w="27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Any</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2.0% (181/8,880)</w:t>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1.25 (1.06, 1.47)</w:t>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1.14 (0.96, 1.35)</w:t>
            </w:r>
          </w:p>
        </w:tc>
        <w:tc>
          <w:tcPr>
            <w:tcW w:type="dxa" w:w="1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1.20 (1.02, 1.42)</w:t>
            </w:r>
          </w:p>
        </w:tc>
      </w:tr>
      <w:tr>
        <w:trPr>
          <w:cantSplit/>
        </w:trPr>
        <w:tc>
          <w:tcPr>
            <w:tcW w:type="dxa" w:w="276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Score, per compartment</w:t>
            </w:r>
            <w:r>
              <w:rPr>
                <w:rFonts w:ascii="Calibri" w:cs="Calibri" w:eastAsia="Calibri" w:hAnsi="Calibri"/>
                <w:sz w:val="18"/>
                <w:szCs w:val="18"/>
                <w:vertAlign w:val="superscript"/>
              </w:rPr>
              <w:t xml:space="preserve">d</w:t>
            </w:r>
          </w:p>
        </w:tc>
        <w:tc>
          <w:tcPr>
            <w:tcW w:type="dxa" w:w="18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p>
        </w:tc>
        <w:tc>
          <w:tcPr>
            <w:tcW w:type="dxa" w:w="16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1.03 (0.98, 1.09)</w:t>
            </w:r>
          </w:p>
        </w:tc>
        <w:tc>
          <w:tcPr>
            <w:tcW w:type="dxa" w:w="16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1.03 (0.98, 1.08)</w:t>
            </w:r>
          </w:p>
        </w:tc>
        <w:tc>
          <w:tcPr>
            <w:tcW w:type="dxa" w:w="16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1.04 (0.99, 1.09)</w:t>
            </w:r>
          </w:p>
        </w:tc>
      </w:tr>
    </w:tbl>
    <w:p>
      <w:pPr>
        <w:spacing w:after="120" w:before="60" w:line="240"/>
      </w:pPr>
      <w:r>
        <w:rPr>
          <w:rFonts w:ascii="Calibri" w:cs="Calibri" w:eastAsia="Calibri" w:hAnsi="Calibri"/>
          <w:sz w:val="18"/>
          <w:szCs w:val="18"/>
        </w:rPr>
        <w:t xml:space="preserve">Relative risks (RR) and 95% confidence intervals (CI) from modified Poisson regression with generalised estimating equations clustered on mother, pooled across 50 imputed datasets. </w:t>
      </w:r>
      <w:r>
        <w:rPr>
          <w:rFonts w:ascii="Calibri" w:cs="Calibri" w:eastAsia="Calibri" w:hAnsi="Calibri"/>
          <w:sz w:val="18"/>
          <w:szCs w:val="18"/>
          <w:vertAlign w:val="superscript"/>
        </w:rPr>
        <w:t xml:space="preserve">a</w:t>
      </w:r>
      <w:r>
        <w:rPr>
          <w:rFonts w:ascii="Calibri" w:cs="Calibri" w:eastAsia="Calibri" w:hAnsi="Calibri"/>
          <w:sz w:val="18"/>
          <w:szCs w:val="18"/>
        </w:rPr>
        <w:t xml:space="preserve">Adjusted for maternal age, pre-pregnancy body mass index, race and ethnicity, education, income, marital status, smoking, parity, pre-pregnancy diabetes, chronic hypertension, infant sex, and study site, with stabilised inverse probability of censoring weights. </w:t>
      </w:r>
      <w:r>
        <w:rPr>
          <w:rFonts w:ascii="Calibri" w:cs="Calibri" w:eastAsia="Calibri" w:hAnsi="Calibri"/>
          <w:sz w:val="18"/>
          <w:szCs w:val="18"/>
          <w:vertAlign w:val="superscript"/>
        </w:rPr>
        <w:t xml:space="preserve">b</w:t>
      </w:r>
      <w:r>
        <w:rPr>
          <w:rFonts w:ascii="Calibri" w:cs="Calibri" w:eastAsia="Calibri" w:hAnsi="Calibri"/>
          <w:sz w:val="18"/>
          <w:szCs w:val="18"/>
        </w:rPr>
        <w:t xml:space="preserve">As for the primary model but without study site. </w:t>
      </w:r>
      <w:r>
        <w:rPr>
          <w:rFonts w:ascii="Calibri" w:cs="Calibri" w:eastAsia="Calibri" w:hAnsi="Calibri"/>
          <w:sz w:val="18"/>
          <w:szCs w:val="18"/>
          <w:vertAlign w:val="superscript"/>
        </w:rPr>
        <w:t xml:space="preserve">c</w:t>
      </w:r>
      <w:r>
        <w:rPr>
          <w:rFonts w:ascii="Calibri" w:cs="Calibri" w:eastAsia="Calibri" w:hAnsi="Calibri"/>
          <w:sz w:val="18"/>
          <w:szCs w:val="18"/>
        </w:rPr>
        <w:t xml:space="preserve">MVM score range 0 to 8. </w:t>
      </w:r>
      <w:r>
        <w:rPr>
          <w:rFonts w:ascii="Calibri" w:cs="Calibri" w:eastAsia="Calibri" w:hAnsi="Calibri"/>
          <w:sz w:val="18"/>
          <w:szCs w:val="18"/>
          <w:vertAlign w:val="superscript"/>
        </w:rPr>
        <w:t xml:space="preserve">d</w:t>
      </w:r>
      <w:r>
        <w:rPr>
          <w:rFonts w:ascii="Calibri" w:cs="Calibri" w:eastAsia="Calibri" w:hAnsi="Calibri"/>
          <w:sz w:val="18"/>
          <w:szCs w:val="18"/>
        </w:rPr>
        <w:t xml:space="preserve">Number of involved placental compartments (0 to 7).</w:t>
      </w:r>
    </w:p>
    <w:p>
      <w:r>
        <w:br w:type="page"/>
      </w:r>
    </w:p>
    <w:p>
      <w:pPr>
        <w:keepNext/>
        <w:spacing w:after="120" w:before="240" w:line="480"/>
      </w:pPr>
      <w:r>
        <w:rPr>
          <w:rFonts w:ascii="Calibri" w:cs="Calibri" w:eastAsia="Calibri" w:hAnsi="Calibri"/>
          <w:b/>
          <w:bCs/>
          <w:i w:val="false"/>
          <w:iCs w:val="false"/>
          <w:sz w:val="24"/>
          <w:szCs w:val="24"/>
        </w:rPr>
        <w:t xml:space="preserve">FIGURE LEGEND</w:t>
      </w:r>
    </w:p>
    <w:p>
      <w:pPr>
        <w:spacing w:after="240" w:before="0" w:line="480"/>
      </w:pPr>
      <w:r>
        <w:rPr>
          <w:rFonts w:ascii="Calibri" w:cs="Calibri" w:eastAsia="Calibri" w:hAnsi="Calibri"/>
          <w:b/>
          <w:bCs/>
          <w:sz w:val="24"/>
          <w:szCs w:val="24"/>
        </w:rPr>
        <w:t xml:space="preserve">FIGURE 1 </w:t>
      </w:r>
      <w:r>
        <w:rPr>
          <w:rFonts w:ascii="Calibri" w:cs="Calibri" w:eastAsia="Calibri" w:hAnsi="Calibri"/>
          <w:sz w:val="24"/>
          <w:szCs w:val="24"/>
        </w:rPr>
        <w:t xml:space="preserve">Flow of participants in the Collaborative Perinatal Project. AI, acute inflammation. IH, infantile haemangioma. MVM, maternal vascular malperfusion.</w:t>
      </w:r>
    </w:p>
    <w:p>
      <w:r>
        <w:drawing>
          <wp:inline distT="0" distB="0" distL="0" distR="0">
            <wp:extent cx="5715000" cy="527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5276850"/>
                    </a:xfrm>
                    <a:prstGeom prst="rect">
                      <a:avLst/>
                    </a:prstGeom>
                  </pic:spPr>
                </pic:pic>
              </a:graphicData>
            </a:graphic>
          </wp:inline>
        </w:drawing>
      </w:r>
    </w:p>
    <w:sectPr>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a64a6bab61b9759820fc8db9aaf5bef466eb99d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2026-10-18T20:39:31.374Z</dcterms:created>
  <dcterms:modified xsi:type="dcterms:W3CDTF">2026-10-18T20:39:31.374Z</dcterms:modified>
</cp:coreProperties>
</file>

<file path=docProps/custom.xml><?xml version="1.0" encoding="utf-8"?>
<Properties xmlns="http://schemas.openxmlformats.org/officeDocument/2006/custom-properties" xmlns:vt="http://schemas.openxmlformats.org/officeDocument/2006/docPropsVTypes"/>
</file>