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Supporting Information</w:t>
      </w:r>
    </w:p>
    <w:p>
      <w:pPr>
        <w:spacing w:after="240" w:before="0" w:line="480"/>
        <w:jc w:val="center"/>
      </w:pPr>
      <w:r>
        <w:rPr>
          <w:rFonts w:ascii="Calibri" w:cs="Calibri" w:eastAsia="Calibri" w:hAnsi="Calibri"/>
          <w:i/>
          <w:iCs/>
          <w:sz w:val="24"/>
          <w:szCs w:val="24"/>
        </w:rPr>
        <w:t xml:space="preserve">Placental Pathology and Infantile Haemangioma in the Collaborative Perinatal Project</w:t>
      </w:r>
    </w:p>
    <w:p>
      <w:pPr>
        <w:spacing w:after="8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p>
      <w:pPr>
        <w:spacing w:after="8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p>
      <w:pPr>
        <w:spacing w:after="8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p>
      <w:pPr>
        <w:spacing w:after="8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p>
      <w:pPr>
        <w:spacing w:after="8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p>
      <w:pPr>
        <w:spacing w:after="8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p>
      <w:pPr>
        <w:spacing w:after="8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p>
      <w:pPr>
        <w:spacing w:after="8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p>
      <w:pPr>
        <w:spacing w:after="8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p>
      <w:pPr>
        <w:spacing w:after="8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p>
      <w:pPr>
        <w:spacing w:after="8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p>
      <w:pPr>
        <w:spacing w:after="8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p>
      <w:r>
        <w:br w:type="page"/>
      </w:r>
    </w:p>
    <w:p>
      <w:pPr>
        <w:keepNext/>
        <w:spacing w:after="12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700"/>
      </w:tblGrid>
      <w:tr>
        <w:trPr>
          <w:tblHeader/>
        </w:trPr>
        <w:tc>
          <w:tcPr>
            <w:tcW w:type="dxa" w:w="3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Included (examined at one year)</w:t>
            </w:r>
          </w:p>
          <w:p>
            <w:pPr>
              <w:spacing w:line="240"/>
              <w:jc w:val="center"/>
            </w:pPr>
            <w:r>
              <w:rPr>
                <w:rFonts w:ascii="Calibri" w:cs="Calibri" w:eastAsia="Calibri" w:hAnsi="Calibri"/>
                <w:b/>
                <w:bCs/>
                <w:sz w:val="18"/>
                <w:szCs w:val="18"/>
              </w:rPr>
              <w:t xml:space="preserve">n = 40,700</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all</w:t>
            </w:r>
          </w:p>
          <w:p>
            <w:pPr>
              <w:spacing w:line="240"/>
              <w:jc w:val="center"/>
            </w:pPr>
            <w:r>
              <w:rPr>
                <w:rFonts w:ascii="Calibri" w:cs="Calibri" w:eastAsia="Calibri" w:hAnsi="Calibri"/>
                <w:b/>
                <w:bCs/>
                <w:sz w:val="18"/>
                <w:szCs w:val="18"/>
              </w:rPr>
              <w:t xml:space="preserve">n = 4,568</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died before one year</w:t>
            </w:r>
          </w:p>
          <w:p>
            <w:pPr>
              <w:spacing w:line="240"/>
              <w:jc w:val="center"/>
            </w:pPr>
            <w:r>
              <w:rPr>
                <w:rFonts w:ascii="Calibri" w:cs="Calibri" w:eastAsia="Calibri" w:hAnsi="Calibri"/>
                <w:b/>
                <w:bCs/>
                <w:sz w:val="18"/>
                <w:szCs w:val="18"/>
              </w:rPr>
              <w:t xml:space="preserve">n = 1,834</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no one-year examination</w:t>
            </w:r>
          </w:p>
          <w:p>
            <w:pPr>
              <w:spacing w:line="240"/>
              <w:jc w:val="center"/>
            </w:pPr>
            <w:r>
              <w:rPr>
                <w:rFonts w:ascii="Calibri" w:cs="Calibri" w:eastAsia="Calibri" w:hAnsi="Calibri"/>
                <w:b/>
                <w:bCs/>
                <w:sz w:val="18"/>
                <w:szCs w:val="18"/>
              </w:rPr>
              <w:t xml:space="preserve">n = 2,734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60.7% (2,773)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73.7% (2,014)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(1,795)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58.6% (1,075)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(720)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71.4% (3,260)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59.8% (1,097)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79.1% (2,163)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(1,308)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40.2% (737)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(571)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46.5% (2,124)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27.5% (505)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59.2% (1,619)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 (1,136)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32.3% (592)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(544)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(649)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(254)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(395)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(659)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(483)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(176)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Study site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Boston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23.7%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(368)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(542)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Buffalo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 (71)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0.8% (22)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Orleans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(Columbia)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Baltimore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 (2,667)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Virginia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(111)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(155)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Minnesota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(2,590)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(82)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Medical College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 (607)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(158)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16.4% (449)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Oregon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 (2,630)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(129)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Pennsylvania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(7,140)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 (1,066)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20.2% (370)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(696)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Providence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(3,143)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(579)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 (162)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 (417)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Tennessee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(1,013)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25.2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(3.9)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47.5% (2,168)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51.5% (1,409)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41.2% (1,884)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50.3% (922)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35.2% (962)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(456)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(130)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(326)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(861)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(526)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43.5% (1,880)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44.0% (774)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(1,106)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27.9% (1,204)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(502)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(702)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 (230)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(656)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15.6% (257)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(399)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47.6% (1,921)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(730)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(1,191)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(914)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(537)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(346)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(161)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(60)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(32)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70.1% (3,200)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73.8% (1,354)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67.5% (1,846)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18.7% (856)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(270)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(301)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47.3% (2,112)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49.0% (881)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46.1% (1,231)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to 19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31.8% (1,418)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 (567)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 (851)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(935)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28.8% (1,280)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(464)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(816)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(951)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18.9% (339)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(612)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(742)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(458)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(461)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(216)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(245)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(1,007)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27.2% (488)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19.6% (519)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97.6% (4,457)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95.4% (1,747)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99.1% (2,710)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 (85)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(4,298)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91.1% (1,670)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96.2% (2,628)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 (105)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47.1% (2,137)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(796)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(1,341)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52.9% (2,400)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55.9% (1,008)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(1,392)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37.0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 (7.2)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68.6% (3,118)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(788)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85.8% (2,330)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(1,425)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56.9% (1,039)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(386)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84.8% (3,835)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74.6% (1,335)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91.5% (2,500)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 (686)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25.4% (454)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 (232)</w:t>
            </w:r>
          </w:p>
        </w:tc>
      </w:tr>
      <w:tr>
        <w:trPr>
          <w:cantSplit/>
        </w:trPr>
        <w:tc>
          <w:tcPr>
            <w:tcW w:type="dxa" w:w="3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bl>
    <w:p>
      <w:pPr>
        <w:spacing w:after="120" w:before="60" w:line="240"/>
      </w:pPr>
      <w:r>
        <w:rPr>
          <w:rFonts w:ascii="Calibri" w:cs="Calibri" w:eastAsia="Calibri" w:hAnsi="Calibri"/>
          <w:sz w:val="18"/>
          <w:szCs w:val="18"/>
        </w:rPr>
        <w:t xml:space="preserve">Values are % (n) unless stated otherwise. Excluded infants either died before the 12-month examination or survived without an IH examination.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IH</w:t>
            </w:r>
          </w:p>
          <w:p>
            <w:pPr>
              <w:spacing w:line="240"/>
              <w:jc w:val="center"/>
            </w:pPr>
            <w:r>
              <w:rPr>
                <w:rFonts w:ascii="Calibri" w:cs="Calibri" w:eastAsia="Calibri" w:hAnsi="Calibri"/>
                <w:b/>
                <w:bCs/>
                <w:sz w:val="18"/>
                <w:szCs w:val="18"/>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w:t>
            </w:r>
          </w:p>
          <w:p>
            <w:pPr>
              <w:spacing w:line="240"/>
              <w:jc w:val="center"/>
            </w:pPr>
            <w:r>
              <w:rPr>
                <w:rFonts w:ascii="Calibri" w:cs="Calibri" w:eastAsia="Calibri" w:hAnsi="Calibri"/>
                <w:b/>
                <w:bCs/>
                <w:sz w:val="18"/>
                <w:szCs w:val="18"/>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bl>
    <w:p>
      <w:pPr>
        <w:spacing w:after="120" w:before="60" w:line="240"/>
      </w:pPr>
      <w:r>
        <w:rPr>
          <w:rFonts w:ascii="Calibri" w:cs="Calibri" w:eastAsia="Calibri" w:hAnsi="Calibri"/>
          <w:sz w:val="18"/>
          <w:szCs w:val="18"/>
        </w:rPr>
        <w:t xml:space="preserve">Values are % (n) unless stated otherwise.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RR (95% CI)</w:t>
            </w:r>
            <w:r>
              <w:rPr>
                <w:rFonts w:ascii="Calibri" w:cs="Calibri" w:eastAsia="Calibri" w:hAnsi="Calibri"/>
                <w:b/>
                <w:bCs/>
                <w:sz w:val="18"/>
                <w:szCs w:val="18"/>
                <w:vertAlign w:val="superscript"/>
              </w:rPr>
              <w:t xml:space="preserve">a</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r>
    </w:tbl>
    <w:p>
      <w:pPr>
        <w:spacing w:after="120" w:before="60" w:line="240"/>
      </w:pPr>
      <w:r>
        <w:rPr>
          <w:rFonts w:ascii="Calibri" w:cs="Calibri" w:eastAsia="Calibri" w:hAnsi="Calibri"/>
          <w:sz w:val="18"/>
          <w:szCs w:val="18"/>
          <w:vertAlign w:val="superscript"/>
        </w:rPr>
        <w:t xml:space="preserve">a</w:t>
      </w:r>
      <w:r>
        <w:rPr>
          <w:rFonts w:ascii="Calibri" w:cs="Calibri" w:eastAsia="Calibri" w:hAnsi="Calibri"/>
          <w:sz w:val="18"/>
          <w:szCs w:val="18"/>
        </w:rPr>
        <w:t xml:space="preserve">RR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(0.27, 22.80)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(0.85, 1.70)</w:t>
            </w:r>
          </w:p>
        </w:tc>
      </w:tr>
    </w:tbl>
    <w:p>
      <w:pPr>
        <w:spacing w:after="120" w:before="60" w:line="240"/>
      </w:pPr>
      <w:r>
        <w:rPr>
          <w:rFonts w:ascii="Calibri" w:cs="Calibri" w:eastAsia="Calibri" w:hAnsi="Calibri"/>
          <w:sz w:val="18"/>
          <w:szCs w:val="18"/>
        </w:rPr>
        <w:t xml:space="preserve">Estimates (95% CI) from the four-category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900"/>
        <w:gridCol w:w="1900"/>
      </w:tblGrid>
      <w:tr>
        <w:trPr>
          <w:tblHeader/>
        </w:trPr>
        <w:tc>
          <w:tcPr>
            <w:tcW w:type="dxa" w:w="3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RR (95% CI)</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point estimate</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CI limit</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Both MVM and AI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bl>
    <w:p>
      <w:pPr>
        <w:spacing w:after="120" w:before="60" w:line="240"/>
      </w:pPr>
      <w:r>
        <w:rPr>
          <w:rFonts w:ascii="Calibri" w:cs="Calibri" w:eastAsia="Calibri" w:hAnsi="Calibri"/>
          <w:sz w:val="18"/>
          <w:szCs w:val="18"/>
        </w:rPr>
        <w:t xml:space="preserve">The E-value is the minimum strength of association, on the RR scale, that an unmeasured confounder would need to have with both the exposure and the outcome, beyond the measured covariates, to fully explain the observed association. The E-value for the CI is 1.00 when the CI includes 1.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(0.84, 1.36)</w:t>
            </w:r>
          </w:p>
        </w:tc>
      </w:tr>
    </w:tbl>
    <w:p>
      <w:pPr>
        <w:spacing w:after="120" w:before="60" w:line="240"/>
      </w:pPr>
      <w:r>
        <w:rPr>
          <w:rFonts w:ascii="Calibri" w:cs="Calibri" w:eastAsia="Calibri" w:hAnsi="Calibri"/>
          <w:sz w:val="18"/>
          <w:szCs w:val="18"/>
        </w:rPr>
        <w:t xml:space="preserve">RR (95% CI). MVM grade: low, score 1 to 2. High, score 3 or more. AI stage as recorded in the CPP placental dataset.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(0.98, 1.61)</w:t>
            </w:r>
          </w:p>
        </w:tc>
      </w:tr>
    </w:tbl>
    <w:p>
      <w:pPr>
        <w:spacing w:after="120" w:before="60" w:line="240"/>
      </w:pPr>
      <w:r>
        <w:rPr>
          <w:rFonts w:ascii="Calibri" w:cs="Calibri" w:eastAsia="Calibri" w:hAnsi="Calibri"/>
          <w:sz w:val="18"/>
          <w:szCs w:val="18"/>
        </w:rPr>
        <w:t xml:space="preserve">RR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Demographic factors</w:t>
            </w:r>
            <w:r>
              <w:rPr>
                <w:rFonts w:ascii="Calibri" w:cs="Calibri" w:eastAsia="Calibri" w:hAnsi="Calibri"/>
                <w:sz w:val="18"/>
                <w:szCs w:val="18"/>
                <w:vertAlign w:val="superscript"/>
              </w:rPr>
              <w:t xml:space="preserve">a</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Health factors</w:t>
            </w:r>
            <w:r>
              <w:rPr>
                <w:rFonts w:ascii="Calibri" w:cs="Calibri" w:eastAsia="Calibri" w:hAnsi="Calibri"/>
                <w:sz w:val="18"/>
                <w:szCs w:val="18"/>
                <w:vertAlign w:val="superscript"/>
              </w:rPr>
              <w:t xml:space="preserve">b</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Covariate groups were added cumulatively without weights, followed by the secondary and primary models with inverse probability of censoring weights (IPW).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Maternal age, race and ethnicity, education, income, marital status.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Pre-pregnancy body mass index, smoking, pre-pregnancy diabetes, chronic hypertension.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RR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 </w:t>
            </w:r>
          </w:p>
          <w:p>
            <w:pPr>
              <w:spacing w:line="240"/>
              <w:jc w:val="left"/>
            </w:pPr>
            <w:r>
              <w:rPr>
                <w:rFonts w:ascii="Calibri" w:cs="Calibri" w:eastAsia="Calibri" w:hAnsi="Calibri"/>
                <w:sz w:val="18"/>
                <w:szCs w:val="18"/>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Other 11 centres </w:t>
            </w:r>
          </w:p>
          <w:p>
            <w:pPr>
              <w:spacing w:line="240"/>
              <w:jc w:val="left"/>
            </w:pPr>
            <w:r>
              <w:rPr>
                <w:rFonts w:ascii="Calibri" w:cs="Calibri" w:eastAsia="Calibri" w:hAnsi="Calibri"/>
                <w:sz w:val="18"/>
                <w:szCs w:val="18"/>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(0.81,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centres (primary) </w:t>
            </w:r>
          </w:p>
          <w:p>
            <w:pPr>
              <w:spacing w:line="240"/>
              <w:jc w:val="left"/>
            </w:pPr>
            <w:r>
              <w:rPr>
                <w:rFonts w:ascii="Calibri" w:cs="Calibri" w:eastAsia="Calibri" w:hAnsi="Calibri"/>
                <w:sz w:val="18"/>
                <w:szCs w:val="18"/>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(1.03, 1.37)</w:t>
            </w:r>
          </w:p>
        </w:tc>
      </w:tr>
    </w:tbl>
    <w:p>
      <w:pPr>
        <w:spacing w:after="120" w:before="60" w:line="240"/>
      </w:pPr>
      <w:r>
        <w:rPr>
          <w:rFonts w:ascii="Calibri" w:cs="Calibri" w:eastAsia="Calibri" w:hAnsi="Calibri"/>
          <w:sz w:val="18"/>
          <w:szCs w:val="18"/>
        </w:rPr>
        <w:t xml:space="preserve">RR (95% CI). Prespecified sensitivity analysis. Primary: adjusted for 11 covariates and study site, with inverse probability of censoring weights. Secondary: as primary without study site. Pooled across 50 imputed datasets. MVM, maternal vascular malperfusion. AI, acute inflammation. RR, relative risk. CI, confidence interval.</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2026-10-18T20:39:31.604Z</dcterms:created>
  <dcterms:modified xsi:type="dcterms:W3CDTF">2026-10-18T20:39:31.605Z</dcterms:modified>
</cp:coreProperties>
</file>

<file path=docProps/custom.xml><?xml version="1.0" encoding="utf-8"?>
<Properties xmlns="http://schemas.openxmlformats.org/officeDocument/2006/custom-properties" xmlns:vt="http://schemas.openxmlformats.org/officeDocument/2006/docPropsVTypes"/>
</file>