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 stratified results are reported. Boston recorded more AI and far more foetal-only inflammation, which is discussed as a likely reading convention.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Discussion 4.2, Table S8</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but not feasible. Only 78 mothers were discordant for both IH and MVM (73 for AI), and estimates were too imprecise to be informative, so this analysis is not reported.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Not reported</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2026-10-03T01:45:13.831Z</dcterms:created>
  <dcterms:modified xsi:type="dcterms:W3CDTF">2026-10-03T01:45:13.831Z</dcterms:modified>
</cp:coreProperties>
</file>

<file path=docProps/custom.xml><?xml version="1.0" encoding="utf-8"?>
<Properties xmlns="http://schemas.openxmlformats.org/officeDocument/2006/custom-properties" xmlns:vt="http://schemas.openxmlformats.org/officeDocument/2006/docPropsVTypes"/>
</file>