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center"/>
      </w:pPr>
      <w:r>
        <w:rPr>
          <w:rFonts w:ascii="Times New Roman" w:cs="Times New Roman" w:eastAsia="Times New Roman" w:hAnsi="Times New Roman"/>
          <w:b/>
          <w:bCs/>
          <w:sz w:val="28"/>
          <w:szCs w:val="28"/>
        </w:rPr>
        <w:t xml:space="preserve">Supplementary Material</w:t>
      </w:r>
    </w:p>
    <w:p>
      <w:pPr>
        <w:spacing w:after="240" w:before="0" w:line="480"/>
        <w:jc w:val="center"/>
      </w:pPr>
      <w:r>
        <w:rPr>
          <w:rFonts w:ascii="Times New Roman" w:cs="Times New Roman" w:eastAsia="Times New Roman" w:hAnsi="Times New Roman"/>
          <w:i/>
          <w:iCs/>
          <w:sz w:val="24"/>
          <w:szCs w:val="24"/>
        </w:rPr>
        <w:t xml:space="preserve">Placental Pathology and Infantile Haemangioma in the Collaborative Perinatal Project</w:t>
      </w:r>
    </w:p>
    <w:p>
      <w:r>
        <w:br w:type="page"/>
      </w:r>
    </w:p>
    <w:p>
      <w:pPr>
        <w:keepNext/>
        <w:spacing w:after="120" w:before="0" w:line="276"/>
      </w:pPr>
      <w:r>
        <w:rPr>
          <w:rFonts w:ascii="Times New Roman" w:cs="Times New Roman" w:eastAsia="Times New Roman" w:hAnsi="Times New Roman"/>
          <w:b/>
          <w:bCs/>
          <w:sz w:val="20"/>
          <w:szCs w:val="20"/>
        </w:rPr>
        <w:t xml:space="preserve">Table S1. </w:t>
      </w:r>
      <w:r>
        <w:rPr>
          <w:rFonts w:ascii="Times New Roman" w:cs="Times New Roman" w:eastAsia="Times New Roman" w:hAnsi="Times New Roman"/>
          <w:sz w:val="20"/>
          <w:szCs w:val="20"/>
        </w:rPr>
        <w:t xml:space="preserve">Placental pathology and maternal and infant characteristics among 40,700 infants with an observed outcome,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IH</w:t>
            </w:r>
          </w:p>
          <w:p>
            <w:pPr>
              <w:spacing w:line="240"/>
              <w:jc w:val="center"/>
            </w:pPr>
            <w:r>
              <w:rPr>
                <w:rFonts w:ascii="Times New Roman" w:cs="Times New Roman" w:eastAsia="Times New Roman" w:hAnsi="Times New Roman"/>
                <w:b/>
                <w:bCs/>
                <w:sz w:val="16"/>
                <w:szCs w:val="16"/>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w:t>
            </w:r>
          </w:p>
          <w:p>
            <w:pPr>
              <w:spacing w:line="240"/>
              <w:jc w:val="center"/>
            </w:pPr>
            <w:r>
              <w:rPr>
                <w:rFonts w:ascii="Times New Roman" w:cs="Times New Roman" w:eastAsia="Times New Roman" w:hAnsi="Times New Roman"/>
                <w:b/>
                <w:bCs/>
                <w:sz w:val="16"/>
                <w:szCs w:val="16"/>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bl>
    <w:p>
      <w:pPr>
        <w:spacing w:after="0" w:before="60" w:line="240"/>
      </w:pPr>
      <w:r>
        <w:rPr>
          <w:rFonts w:ascii="Times New Roman" w:cs="Times New Roman" w:eastAsia="Times New Roman" w:hAnsi="Times New Roman"/>
          <w:sz w:val="16"/>
          <w:szCs w:val="16"/>
        </w:rPr>
        <w:t xml:space="preserve">Values are % (n) unless stated otherwise. MVM, maternal vascular malperfusion. AI, acute inflammation.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S2. </w:t>
      </w:r>
      <w:r>
        <w:rPr>
          <w:rFonts w:ascii="Times New Roman" w:cs="Times New Roman" w:eastAsia="Times New Roman" w:hAnsi="Times New Roman"/>
          <w:sz w:val="20"/>
          <w:szCs w:val="20"/>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RR (95% CI)ᵃ</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 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 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 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31 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37 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45 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50 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55 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60 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66 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71 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82 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
            </w:r>
          </w:p>
        </w:tc>
      </w:tr>
    </w:tbl>
    <w:p>
      <w:pPr>
        <w:spacing w:after="0" w:before="60" w:line="240"/>
      </w:pPr>
      <w:r>
        <w:rPr>
          <w:rFonts w:ascii="Times New Roman" w:cs="Times New Roman" w:eastAsia="Times New Roman" w:hAnsi="Times New Roman"/>
          <w:sz w:val="16"/>
          <w:szCs w:val="16"/>
        </w:rPr>
        <w:t xml:space="preserve">ᵃRelative risk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S3. </w:t>
      </w:r>
      <w:r>
        <w:rPr>
          <w:rFonts w:ascii="Times New Roman" w:cs="Times New Roman" w:eastAsia="Times New Roman" w:hAnsi="Times New Roman"/>
          <w:sz w:val="20"/>
          <w:szCs w:val="20"/>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Demographic factorsᵃ</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Health factorsᵇ</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Covariate groups were added cumulatively without weights, followed by the secondary and primary models with inverse probability of censoring weights (IPW). ᵃMaternal age, race and ethnicity, education, income, marital status. ᵇPre-pregnancy body mass index, smoking, pre-pregnancy diabetes, chronic hypertension.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S4. </w:t>
      </w:r>
      <w:r>
        <w:rPr>
          <w:rFonts w:ascii="Times New Roman" w:cs="Times New Roman" w:eastAsia="Times New Roman" w:hAnsi="Times New Roman"/>
          <w:sz w:val="20"/>
          <w:szCs w:val="20"/>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1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any vs none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1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S5. </w:t>
      </w:r>
      <w:r>
        <w:rPr>
          <w:rFonts w:ascii="Times New Roman" w:cs="Times New Roman" w:eastAsia="Times New Roman" w:hAnsi="Times New Roman"/>
          <w:sz w:val="20"/>
          <w:szCs w:val="20"/>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1.37 (1.05, 1.78)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2.46 (0.27, 22.76)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(0.85, 1.70)</w:t>
            </w:r>
          </w:p>
        </w:tc>
      </w:tr>
    </w:tbl>
    <w:p>
      <w:pPr>
        <w:spacing w:after="0" w:before="60" w:line="240"/>
      </w:pPr>
      <w:r>
        <w:rPr>
          <w:rFonts w:ascii="Times New Roman" w:cs="Times New Roman" w:eastAsia="Times New Roman" w:hAnsi="Times New Roman"/>
          <w:sz w:val="16"/>
          <w:szCs w:val="16"/>
        </w:rPr>
        <w:t xml:space="preserve">Estimates (95% CI) from the four-level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S6. </w:t>
      </w:r>
      <w:r>
        <w:rPr>
          <w:rFonts w:ascii="Times New Roman" w:cs="Times New Roman" w:eastAsia="Times New Roman" w:hAnsi="Times New Roman"/>
          <w:sz w:val="20"/>
          <w:szCs w:val="20"/>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(0.84, 1.36)</w:t>
            </w:r>
          </w:p>
        </w:tc>
      </w:tr>
    </w:tbl>
    <w:p>
      <w:pPr>
        <w:spacing w:after="0" w:before="60" w:line="240"/>
      </w:pPr>
      <w:r>
        <w:rPr>
          <w:rFonts w:ascii="Times New Roman" w:cs="Times New Roman" w:eastAsia="Times New Roman" w:hAnsi="Times New Roman"/>
          <w:sz w:val="16"/>
          <w:szCs w:val="16"/>
        </w:rPr>
        <w:t xml:space="preserve">Relative risks (95% CI). MVM grade: low, score 1 to 2. High, score 3 or more. AI stage as recorded in the CPP placental dataset.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S7. </w:t>
      </w:r>
      <w:r>
        <w:rPr>
          <w:rFonts w:ascii="Times New Roman" w:cs="Times New Roman" w:eastAsia="Times New Roman" w:hAnsi="Times New Roman"/>
          <w:sz w:val="20"/>
          <w:szCs w:val="20"/>
        </w:rPr>
        <w:t xml:space="preserve">Associations of maternal and foetal acute inflammatory responses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AI location</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 REF</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(0.97, 1.61)</w:t>
            </w:r>
          </w:p>
        </w:tc>
      </w:tr>
    </w:tbl>
    <w:p>
      <w:pPr>
        <w:spacing w:after="0" w:before="60" w:line="240"/>
      </w:pPr>
      <w:r>
        <w:rPr>
          <w:rFonts w:ascii="Times New Roman" w:cs="Times New Roman" w:eastAsia="Times New Roman" w:hAnsi="Times New Roman"/>
          <w:sz w:val="16"/>
          <w:szCs w:val="16"/>
        </w:rPr>
        <w:t xml:space="preserve">Relative risks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Definite IH, 700 cases among 40,700 infants, unless stated otherwise.</w:t>
      </w:r>
    </w:p>
    <w:p>
      <w:r>
        <w:br w:type="page"/>
      </w:r>
    </w:p>
    <w:p>
      <w:pPr>
        <w:keepNext/>
        <w:spacing w:after="120" w:before="0" w:line="276"/>
      </w:pPr>
      <w:r>
        <w:rPr>
          <w:rFonts w:ascii="Times New Roman" w:cs="Times New Roman" w:eastAsia="Times New Roman" w:hAnsi="Times New Roman"/>
          <w:b/>
          <w:bCs/>
          <w:sz w:val="20"/>
          <w:szCs w:val="20"/>
        </w:rPr>
        <w:t xml:space="preserve">Table S8. </w:t>
      </w:r>
      <w:r>
        <w:rPr>
          <w:rFonts w:ascii="Times New Roman" w:cs="Times New Roman" w:eastAsia="Times New Roman" w:hAnsi="Times New Roman"/>
          <w:sz w:val="20"/>
          <w:szCs w:val="20"/>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Boston </w:t>
            </w:r>
          </w:p>
          <w:p>
            <w:pPr>
              <w:spacing w:line="240"/>
              <w:jc w:val="left"/>
            </w:pPr>
            <w:r>
              <w:rPr>
                <w:rFonts w:ascii="Times New Roman" w:cs="Times New Roman" w:eastAsia="Times New Roman" w:hAnsi="Times New Roman"/>
                <w:sz w:val="16"/>
                <w:szCs w:val="16"/>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Other 11 centres </w:t>
            </w:r>
          </w:p>
          <w:p>
            <w:pPr>
              <w:spacing w:line="240"/>
              <w:jc w:val="left"/>
            </w:pPr>
            <w:r>
              <w:rPr>
                <w:rFonts w:ascii="Times New Roman" w:cs="Times New Roman" w:eastAsia="Times New Roman" w:hAnsi="Times New Roman"/>
                <w:sz w:val="16"/>
                <w:szCs w:val="16"/>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(0.82,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All centres (primary) </w:t>
            </w:r>
          </w:p>
          <w:p>
            <w:pPr>
              <w:spacing w:line="240"/>
              <w:jc w:val="left"/>
            </w:pPr>
            <w:r>
              <w:rPr>
                <w:rFonts w:ascii="Times New Roman" w:cs="Times New Roman" w:eastAsia="Times New Roman" w:hAnsi="Times New Roman"/>
                <w:sz w:val="16"/>
                <w:szCs w:val="16"/>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r>
    </w:tbl>
    <w:p>
      <w:pPr>
        <w:spacing w:after="0" w:before="60" w:line="240"/>
      </w:pPr>
      <w:r>
        <w:rPr>
          <w:rFonts w:ascii="Times New Roman" w:cs="Times New Roman" w:eastAsia="Times New Roman" w:hAnsi="Times New Roman"/>
          <w:sz w:val="16"/>
          <w:szCs w:val="16"/>
        </w:rPr>
        <w:t xml:space="preserve">Relative risks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S9. </w:t>
      </w:r>
      <w:r>
        <w:rPr>
          <w:rFonts w:ascii="Times New Roman" w:cs="Times New Roman" w:eastAsia="Times New Roman" w:hAnsi="Times New Roman"/>
          <w:sz w:val="20"/>
          <w:szCs w:val="20"/>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(0.99, 1.09)</w:t>
            </w:r>
          </w:p>
        </w:tc>
      </w:tr>
    </w:tbl>
    <w:p>
      <w:pPr>
        <w:spacing w:after="0" w:before="60" w:line="240"/>
      </w:pPr>
      <w:r>
        <w:rPr>
          <w:rFonts w:ascii="Times New Roman" w:cs="Times New Roman" w:eastAsia="Times New Roman" w:hAnsi="Times New Roman"/>
          <w:sz w:val="16"/>
          <w:szCs w:val="16"/>
        </w:rPr>
        <w:t xml:space="preserve">Relative risks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Times New Roman" w:cs="Times New Roman" w:eastAsia="Times New Roman" w:hAnsi="Times New Roman"/>
          <w:b/>
          <w:bCs/>
          <w:sz w:val="20"/>
          <w:szCs w:val="20"/>
        </w:rPr>
        <w:t xml:space="preserve">Table S10. </w:t>
      </w:r>
      <w:r>
        <w:rPr>
          <w:rFonts w:ascii="Times New Roman" w:cs="Times New Roman" w:eastAsia="Times New Roman" w:hAnsi="Times New Roman"/>
          <w:sz w:val="20"/>
          <w:szCs w:val="20"/>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1.19 (1.03, 1.37)</w:t>
            </w:r>
          </w:p>
        </w:tc>
      </w:tr>
    </w:tbl>
    <w:p>
      <w:pPr>
        <w:spacing w:after="0" w:before="60" w:line="240"/>
      </w:pPr>
      <w:r>
        <w:rPr>
          <w:rFonts w:ascii="Times New Roman" w:cs="Times New Roman" w:eastAsia="Times New Roman" w:hAnsi="Times New Roman"/>
          <w:sz w:val="16"/>
          <w:szCs w:val="16"/>
        </w:rPr>
        <w:t xml:space="preserve">Relative risks (95% CI). Prespecified sensitivity analysis. Primary: adjusted for 11 covariates and study site, with inverse probability of censoring weights. Secondary: as primary without study site.</w:t>
      </w:r>
    </w:p>
    <w:p>
      <w:r>
        <w:br w:type="page"/>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2026-10-03T01:45:13.707Z</dcterms:created>
  <dcterms:modified xsi:type="dcterms:W3CDTF">2026-10-03T01:45:13.707Z</dcterms:modified>
</cp:coreProperties>
</file>

<file path=docProps/custom.xml><?xml version="1.0" encoding="utf-8"?>
<Properties xmlns="http://schemas.openxmlformats.org/officeDocument/2006/custom-properties" xmlns:vt="http://schemas.openxmlformats.org/officeDocument/2006/docPropsVTypes"/>
</file>