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3,727 (main text), 249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S13).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MVM (aRR 1.14, 95% CI 0.96, 1.35) and AI (aRR 1.14, 95% CI 0.96, 1.35) were each imprecisely associated with modestly higher IH risk, with weaker estimates for the MVM score (aRR 1.05, 95% CI 0.97, 1.15) and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Placental MVM and AI showed modest, imprecise associations with IH, strongest when both co-occurred.</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MVM and AI alone showed modest, imprecise associations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for placentas with at least one MVM lesion that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 A joint exposure classified placentas as having neither pattern (reference), MVM only, AI only, or both MVM and AI.</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Three models were fitted for each exposure: crude, primary (11 covariates, study site, and weights), and secondary (11 covariates and weights, without study site). The main exposures were any MVM and any AI, with the MVM and AI scores also reported, and the joint exposure was included in the main results. Mutually adjusted models included MVM and AI together.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 The strength of association of study site with MVM, AI, and IH was summarised with Cramér's V.</w:t>
      </w:r>
    </w:p>
    <w:p>
      <w:pPr>
        <w:spacing w:after="0" w:before="0" w:line="480"/>
        <w:ind w:firstLine="480"/>
      </w:pPr>
      <w:r>
        <w:rPr>
          <w:rFonts w:ascii="Times New Roman" w:cs="Times New Roman" w:eastAsia="Times New Roman" w:hAnsi="Times New Roman"/>
          <w:sz w:val="24"/>
          <w:szCs w:val="24"/>
        </w:rPr>
        <w:t xml:space="preserve">Secondary analyses examined (1) MVM grade and AI stage, (2) AI location, (3) sequential addition of covariate groups and study site, (4) study site as a random intercept instead of a fixed effect, and (5) adjustment for the examining pathologist (site-specific examiner codes with at least 100 placentas) instead of study site. Sensitivity analyses examined (6) stratification by the Boston centre, where 92.6% of placentas were examined by one pathologist [22], versus the other 11 centres, (7) comparison of expected associations of MVM and AI with small for gestational age (SGA), preterm birth, pre-eclampsia, and spontaneous labour in Boston and the other centres, as a check of the construct validity of the placental diagnoses, (8) the broader outcome that included suspect IH, and (9) a within-mother comparison of siblings using conditional logistic regression. SGA was defined as birthweight below the 10th percentile for gestational age and sex based on an internal CPP reference.</w:t>
      </w:r>
    </w:p>
    <w:p>
      <w:pPr>
        <w:spacing w:after="0" w:before="0" w:line="480"/>
        <w:ind w:firstLine="480"/>
      </w:pPr>
      <w:r>
        <w:rPr>
          <w:rFonts w:ascii="Times New Roman" w:cs="Times New Roman" w:eastAsia="Times New Roman" w:hAnsi="Times New Roman"/>
          <w:sz w:val="24"/>
          <w:szCs w:val="24"/>
        </w:rPr>
        <w:t xml:space="preserve">With 700 cases, the study had 80% power (two-sided α = 0.05) to detect RRs of 1.25 for any MVM, 1.27 for any AI, and 1.47 for both lesions versus neither. Results are interpreted according to the magnitude and precision of estimates, and P values are not reported. Analyses used R version 4.3.3 with the geepack, mice, lme4, and survival packages.</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MVM more often ended in preterm birth (19.9% vs 12.4%) and SGA (11.9% vs 7.4%), with lower mean birthweight (2,988 g vs 3,206 g). Pregnancies with AI more often involved White women (52.3% vs 47.0%) and heavy smoking (20.5% vs 16.6%), and more often ended in preterm birth (17.8% vs 13.7%). Among the 40,700 infants (89.9%) with an observed outcome,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(Supplementary Table S2). Boston contributed 41.4% (290/700) of IH cases. Study site was more strongly associated with MVM (Cramér's V 0.38) and AI (0.15) than with IH (0.09).</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primary models, estimates for any MVM (RR 1.14, 95% CI 0.96, 1.35) and any AI (RR 1.14, 95% CI 0.96, 1.35) were modestly above the null but imprecise, as were those for the MVM score (per point, RR 1.05, 95% CI 0.97, 1.15) and AI score (per compartment, RR 1.03, 95% CI 0.98, 1.08). Without adjustment for study site, estimates were larger (MVM RR 1.25, 95% CI 1.07, 1.46, and AI RR 1.20, 95% CI 1.02, 1.42). Adjustment for the 11 covariates changed estimates little, and almost all of the difference between crude and primary estimates arose when study site was added (Supplementary Table S3). Mutual adjustment for MVM and AI did not change either estimate (Supplementary Table S4).</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pattern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Grade, stage, and location of placental lesions</w:t>
      </w:r>
    </w:p>
    <w:p>
      <w:pPr>
        <w:spacing w:after="0" w:before="0" w:line="480"/>
        <w:ind w:firstLine="480"/>
      </w:pPr>
      <w:r>
        <w:rPr>
          <w:rFonts w:ascii="Times New Roman" w:cs="Times New Roman" w:eastAsia="Times New Roman" w:hAnsi="Times New Roman"/>
          <w:sz w:val="24"/>
          <w:szCs w:val="24"/>
        </w:rPr>
        <w:t xml:space="preserve">No dose-response was observed. Compared with no MVM, the RR was 1.15 (95% CI 0.96, 1.37) for low-grade and 1.09 (95% CI 0.77, 1.55) for high-grade MVM. For AI, the RR was 1.26 (95% CI 1.02, 1.55) for low stage and 1.00 (95% CI 0.78, 1.28) for high stage (Supplementary Table S6). By location, RRs were 1.07 (95% CI 0.81, 1.43) for maternal-only, 1.12 (95% CI 0.86, 1.47) for foetal-only, and 1.20 (95% CI 0.94, 1.55) for combined maternal and foetal inflammation (Supplementary Table S7). Foetal-only inflammation, which involved the umbilical vein in 87.8% of cases, had the largest crude estimate (RR 1.67, 95% CI 1.29, 2.18), which fell to 1.12 after adjustment for study site. Among infants with an observed outcome, 61.1% (1,359/2,224) of placentas with foetal-only inflammation were from Boston, where this pattern was recorded in 14.1% of placentas compared with 0.9% to 8.1% at the other centres.</w:t>
      </w:r>
    </w:p>
    <w:p>
      <w:pPr>
        <w:keepNext/>
        <w:spacing w:after="0" w:before="240" w:line="480"/>
      </w:pPr>
      <w:r>
        <w:rPr>
          <w:rFonts w:ascii="Times New Roman" w:cs="Times New Roman" w:eastAsia="Times New Roman" w:hAnsi="Times New Roman"/>
          <w:b/>
          <w:bCs/>
          <w:i/>
          <w:iCs/>
          <w:sz w:val="24"/>
          <w:szCs w:val="24"/>
        </w:rPr>
        <w:t xml:space="preserve">3.5. Study site and sensitivity analyses</w:t>
      </w:r>
    </w:p>
    <w:p>
      <w:pPr>
        <w:spacing w:after="0" w:before="0" w:line="480"/>
        <w:ind w:firstLine="480"/>
      </w:pPr>
      <w:r>
        <w:rPr>
          <w:rFonts w:ascii="Times New Roman" w:cs="Times New Roman" w:eastAsia="Times New Roman" w:hAnsi="Times New Roman"/>
          <w:sz w:val="24"/>
          <w:szCs w:val="24"/>
        </w:rPr>
        <w:t xml:space="preserve">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 MVM was associated with preterm birth and SGA at both Boston and the other centres, more strongly in Boston. AI was associated with preterm birth at the other centres (RR 1.42, 95% CI 1.34, 1.49) but not in Boston (RR 1.04, 95% CI 0.91, 1.18) (Supplementary Table S9).</w:t>
      </w:r>
    </w:p>
    <w:p>
      <w:pPr>
        <w:spacing w:after="0" w:before="0" w:line="480"/>
        <w:ind w:firstLine="480"/>
      </w:pPr>
      <w:r>
        <w:rPr>
          <w:rFonts w:ascii="Times New Roman" w:cs="Times New Roman" w:eastAsia="Times New Roman" w:hAnsi="Times New Roman"/>
          <w:sz w:val="24"/>
          <w:szCs w:val="24"/>
        </w:rPr>
        <w:t xml:space="preserve">Results were similar when study site was modelled as a random effect (MVM RR 1.16, AI RR 1.15), when the examining pathologist replaced study site (MVM RR 1.18, AI RR 1.16), and when suspect IH was included in the outcome (MVM RR 1.13, AI RR 1.10) (Supplementary Tables S10 to S12). Only 78 mothers were discordant for both IH and MVM across pregnancies (73 for AI), and within-mother estimates were too imprecise to be informative (Supplementary Table S13).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placental MVM and AI were each associated with modestly higher IH risk after accounting for study site, but estimates were imprecise and compatible with both no association and a moderate increase in risk. There was no dose-response by MVM grade or AI stage. IH risk was highest when both MVM and AI were present, although the interaction estimate was imprecise. Much of the association observed without adjustment for site was explained by study site, which was more strongly associated with the recorded placental diagnoses than with IH.</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 and that agreement for AI, although high for its presence, is lower for staging [20].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 or replaced by the examining pathologist.</w:t>
      </w:r>
    </w:p>
    <w:p>
      <w:pPr>
        <w:spacing w:after="0" w:before="0" w:line="480"/>
        <w:ind w:firstLine="480"/>
      </w:pPr>
      <w:r>
        <w:rPr>
          <w:rFonts w:ascii="Times New Roman" w:cs="Times New Roman" w:eastAsia="Times New Roman" w:hAnsi="Times New Roman"/>
          <w:sz w:val="24"/>
          <w:szCs w:val="24"/>
        </w:rPr>
        <w:t xml:space="preserve">The Boston centre illustrates how reader practice can shape an exposure. Earlier CPP analyses restricted placental analyses to Boston, where one pathologist examined 92.6% of placentas, to maximise consistency [22]. In the present study, AI was recorded more often in Boston than at other centres, and foetal inflammation without a maternal response, usually limited to the umbilical vein, was recorded far more often. Because a foetal inflammatory response ordinarily follows a maternal response [20,35], this pattern suggests a lower diagnostic threshold rather than a different population. AI was also unrelated to preterm birth in Boston but related to it elsewhere, whereas MVM showed the expected associations with preterm birth and SGA at all centres. Consistency within a single reader therefore does not ensure comparability with other readers, and the stronger association between AI and IH in Boston should be interpreted with caution. Multicentre placental studies should account for centre and, where possible, reader, and would benefit from central review with calibration across pathologists.</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any contribution of placental vascular injury to IH is likely to be modest.</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A modest RR for MVM is therefore compatible with the hypothesis but does not confirm it.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and pathologist,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for the modest associations observed.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placental MVM and AI were each associated with modest, imprecisely estimated increases in IH risk after accounting for study site, with the highest risk when both were present. Variation in placental diagnosis across centres strongly influenced the estimates, underscoring the importance of accounting for centre and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2026-10-02T17:16:56.842Z</dcterms:created>
  <dcterms:modified xsi:type="dcterms:W3CDTF">2026-10-02T17:16:56.842Z</dcterms:modified>
</cp:coreProperties>
</file>

<file path=docProps/custom.xml><?xml version="1.0" encoding="utf-8"?>
<Properties xmlns="http://schemas.openxmlformats.org/officeDocument/2006/custom-properties" xmlns:vt="http://schemas.openxmlformats.org/officeDocument/2006/docPropsVTypes"/>
</file>