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8"/>
          <w:szCs w:val="28"/>
        </w:rPr>
        <w:t xml:space="preserve">Supplementary Material</w:t>
      </w:r>
    </w:p>
    <w:p>
      <w:pPr>
        <w:spacing w:after="240" w:before="0" w:line="480"/>
        <w:jc w:val="center"/>
      </w:pPr>
      <w:r>
        <w:rPr>
          <w:rFonts w:ascii="Times New Roman" w:cs="Times New Roman" w:eastAsia="Times New Roman" w:hAnsi="Times New Roman"/>
          <w:i/>
          <w:iCs/>
          <w:sz w:val="24"/>
          <w:szCs w:val="24"/>
        </w:rPr>
        <w:t xml:space="preserve">Placental Pathology and Infantile Haemangioma in the Collaborative Perinatal Project</w:t>
      </w:r>
    </w:p>
    <w:p>
      <w:r>
        <w:br w:type="page"/>
      </w:r>
    </w:p>
    <w:p>
      <w:pPr>
        <w:keepNext/>
        <w:spacing w:after="120" w:before="0" w:line="276"/>
      </w:pPr>
      <w:r>
        <w:rPr>
          <w:rFonts w:ascii="Times New Roman" w:cs="Times New Roman" w:eastAsia="Times New Roman" w:hAnsi="Times New Roman"/>
          <w:b/>
          <w:bCs/>
          <w:sz w:val="20"/>
          <w:szCs w:val="20"/>
        </w:rPr>
        <w:t xml:space="preserve">Table S1. </w:t>
      </w:r>
      <w:r>
        <w:rPr>
          <w:rFonts w:ascii="Times New Roman" w:cs="Times New Roman" w:eastAsia="Times New Roman" w:hAnsi="Times New Roman"/>
          <w:sz w:val="20"/>
          <w:szCs w:val="20"/>
        </w:rPr>
        <w:t xml:space="preserve">Placental pathology and maternal and infant characteristics among 40,700 infants with an observed outcome,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IH</w:t>
            </w:r>
          </w:p>
          <w:p>
            <w:pPr>
              <w:spacing w:line="240"/>
              <w:jc w:val="center"/>
            </w:pPr>
            <w:r>
              <w:rPr>
                <w:rFonts w:ascii="Times New Roman" w:cs="Times New Roman" w:eastAsia="Times New Roman" w:hAnsi="Times New Roman"/>
                <w:b/>
                <w:bCs/>
                <w:sz w:val="16"/>
                <w:szCs w:val="16"/>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w:t>
            </w:r>
          </w:p>
          <w:p>
            <w:pPr>
              <w:spacing w:line="240"/>
              <w:jc w:val="center"/>
            </w:pPr>
            <w:r>
              <w:rPr>
                <w:rFonts w:ascii="Times New Roman" w:cs="Times New Roman" w:eastAsia="Times New Roman" w:hAnsi="Times New Roman"/>
                <w:b/>
                <w:bCs/>
                <w:sz w:val="16"/>
                <w:szCs w:val="16"/>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bl>
    <w:p>
      <w:pPr>
        <w:spacing w:after="0" w:before="60" w:line="240"/>
      </w:pPr>
      <w:r>
        <w:rPr>
          <w:rFonts w:ascii="Times New Roman" w:cs="Times New Roman" w:eastAsia="Times New Roman" w:hAnsi="Times New Roman"/>
          <w:sz w:val="16"/>
          <w:szCs w:val="16"/>
        </w:rPr>
        <w:t xml:space="preserve">Values are % (n) unless stated otherwise. MVM, maternal vascular malperfusion. AI, acute inflammation.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S2. </w:t>
      </w:r>
      <w:r>
        <w:rPr>
          <w:rFonts w:ascii="Times New Roman" w:cs="Times New Roman" w:eastAsia="Times New Roman" w:hAnsi="Times New Roman"/>
          <w:sz w:val="20"/>
          <w:szCs w:val="20"/>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RR (95% CI)ᵃ</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 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 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 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31 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37 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45 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50 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55 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60 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66 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71 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82 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
            </w:r>
          </w:p>
        </w:tc>
      </w:tr>
    </w:tbl>
    <w:p>
      <w:pPr>
        <w:spacing w:after="0" w:before="60" w:line="240"/>
      </w:pPr>
      <w:r>
        <w:rPr>
          <w:rFonts w:ascii="Times New Roman" w:cs="Times New Roman" w:eastAsia="Times New Roman" w:hAnsi="Times New Roman"/>
          <w:sz w:val="16"/>
          <w:szCs w:val="16"/>
        </w:rPr>
        <w:t xml:space="preserve">ᵃRelative risk of definite IH for each site compared with Boston, from the primary model for any MVM (adjusted for 11 covariates, with inverse probability of censoring weights). Site names other than Boston are from the study team's site mapping and should be confirmed against CPP documentation. Cramér's V for the association of study site with any MVM, any AI, and definite IH among 40,700 infants: 0.38, 0.15, and 0.09.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S3. </w:t>
      </w:r>
      <w:r>
        <w:rPr>
          <w:rFonts w:ascii="Times New Roman" w:cs="Times New Roman" w:eastAsia="Times New Roman" w:hAnsi="Times New Roman"/>
          <w:sz w:val="20"/>
          <w:szCs w:val="20"/>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Demographic factorsᵃ</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Health factorsᵇ</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Covariate groups were added cumulatively without weights, followed by the secondary and primary models with inverse probability of censoring weights (IPW). ᵃMaternal age, race and ethnicity, education, income, marital status. ᵇPre-pregnancy body mass index, smoking, pre-pregnancy diabetes, chronic hypertension.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S4. </w:t>
      </w:r>
      <w:r>
        <w:rPr>
          <w:rFonts w:ascii="Times New Roman" w:cs="Times New Roman" w:eastAsia="Times New Roman" w:hAnsi="Times New Roman"/>
          <w:sz w:val="20"/>
          <w:szCs w:val="20"/>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1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1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S5. </w:t>
      </w:r>
      <w:r>
        <w:rPr>
          <w:rFonts w:ascii="Times New Roman" w:cs="Times New Roman" w:eastAsia="Times New Roman" w:hAnsi="Times New Roman"/>
          <w:sz w:val="20"/>
          <w:szCs w:val="20"/>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1.37 (1.05, 1.78)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2.46 (0.27, 22.76)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(0.85, 1.70)</w:t>
            </w:r>
          </w:p>
        </w:tc>
      </w:tr>
    </w:tbl>
    <w:p>
      <w:pPr>
        <w:spacing w:after="0" w:before="60" w:line="240"/>
      </w:pPr>
      <w:r>
        <w:rPr>
          <w:rFonts w:ascii="Times New Roman" w:cs="Times New Roman" w:eastAsia="Times New Roman" w:hAnsi="Times New Roman"/>
          <w:sz w:val="16"/>
          <w:szCs w:val="16"/>
        </w:rPr>
        <w:t xml:space="preserve">Estimates (95% CI) from the four-level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S6. </w:t>
      </w:r>
      <w:r>
        <w:rPr>
          <w:rFonts w:ascii="Times New Roman" w:cs="Times New Roman" w:eastAsia="Times New Roman" w:hAnsi="Times New Roman"/>
          <w:sz w:val="20"/>
          <w:szCs w:val="20"/>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(0.84, 1.36)</w:t>
            </w:r>
          </w:p>
        </w:tc>
      </w:tr>
    </w:tbl>
    <w:p>
      <w:pPr>
        <w:spacing w:after="0" w:before="60" w:line="240"/>
      </w:pPr>
      <w:r>
        <w:rPr>
          <w:rFonts w:ascii="Times New Roman" w:cs="Times New Roman" w:eastAsia="Times New Roman" w:hAnsi="Times New Roman"/>
          <w:sz w:val="16"/>
          <w:szCs w:val="16"/>
        </w:rPr>
        <w:t xml:space="preserve">Relative risks (95% CI). MVM grade: low, score 1 to 2. High, score 3 or more. AI stage as recorded in the CPP placental dataset.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S7. </w:t>
      </w:r>
      <w:r>
        <w:rPr>
          <w:rFonts w:ascii="Times New Roman" w:cs="Times New Roman" w:eastAsia="Times New Roman" w:hAnsi="Times New Roman"/>
          <w:sz w:val="20"/>
          <w:szCs w:val="20"/>
        </w:rPr>
        <w:t xml:space="preserve">Associations of maternal and foetal acute inflammatory responses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location</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(0.97, 1.61)</w:t>
            </w:r>
          </w:p>
        </w:tc>
      </w:tr>
    </w:tbl>
    <w:p>
      <w:pPr>
        <w:spacing w:after="0" w:before="60" w:line="240"/>
      </w:pPr>
      <w:r>
        <w:rPr>
          <w:rFonts w:ascii="Times New Roman" w:cs="Times New Roman" w:eastAsia="Times New Roman" w:hAnsi="Times New Roman"/>
          <w:sz w:val="16"/>
          <w:szCs w:val="16"/>
        </w:rPr>
        <w:t xml:space="preserve">Relative risks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S8. </w:t>
      </w:r>
      <w:r>
        <w:rPr>
          <w:rFonts w:ascii="Times New Roman" w:cs="Times New Roman" w:eastAsia="Times New Roman" w:hAnsi="Times New Roman"/>
          <w:sz w:val="20"/>
          <w:szCs w:val="20"/>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Boston </w:t>
            </w:r>
          </w:p>
          <w:p>
            <w:pPr>
              <w:spacing w:line="240"/>
              <w:jc w:val="left"/>
            </w:pPr>
            <w:r>
              <w:rPr>
                <w:rFonts w:ascii="Times New Roman" w:cs="Times New Roman" w:eastAsia="Times New Roman" w:hAnsi="Times New Roman"/>
                <w:sz w:val="16"/>
                <w:szCs w:val="16"/>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Other 11 centres </w:t>
            </w:r>
          </w:p>
          <w:p>
            <w:pPr>
              <w:spacing w:line="240"/>
              <w:jc w:val="left"/>
            </w:pPr>
            <w:r>
              <w:rPr>
                <w:rFonts w:ascii="Times New Roman" w:cs="Times New Roman" w:eastAsia="Times New Roman" w:hAnsi="Times New Roman"/>
                <w:sz w:val="16"/>
                <w:szCs w:val="16"/>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(0.82,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centres (primary) </w:t>
            </w:r>
          </w:p>
          <w:p>
            <w:pPr>
              <w:spacing w:line="240"/>
              <w:jc w:val="left"/>
            </w:pPr>
            <w:r>
              <w:rPr>
                <w:rFonts w:ascii="Times New Roman" w:cs="Times New Roman" w:eastAsia="Times New Roman" w:hAnsi="Times New Roman"/>
                <w:sz w:val="16"/>
                <w:szCs w:val="16"/>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S9. </w:t>
      </w:r>
      <w:r>
        <w:rPr>
          <w:rFonts w:ascii="Times New Roman" w:cs="Times New Roman" w:eastAsia="Times New Roman" w:hAnsi="Times New Roman"/>
          <w:sz w:val="20"/>
          <w:szCs w:val="20"/>
        </w:rPr>
        <w:t xml:space="preserve">Associations of placental diagnoses with expected birth outcomes in the Boston centre and the other 11 centres, as a check of construct validity.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500"/>
        <w:gridCol w:w="1800"/>
        <w:gridCol w:w="18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Outcome, by exposure</w:t>
            </w:r>
          </w:p>
        </w:tc>
        <w:tc>
          <w:tcPr>
            <w:tcW w:type="dxa" w:w="15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Centre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Exposed, % (n/N)</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Unexposed, % (n/N)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 RR (95% CI)</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Small for gestational age, by MVM</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(323/3,148)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5.3% (390/7,416)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1.95 (1.69, 2.25)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Other 11 centres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(1,231/9,937)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8.1% (1,997/24,703)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1.53 (1.43, 1.64)</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Preterm birth, by MVM</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18.0% (565/3,144)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6.0% (443/7,398)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3.00 (2.67, 3.37)</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Other 11 centres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20.6% (2,036/9,903)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14.3% (3,529/24,599)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1.43 (1.36, 1.51)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Preeclampsia, by MVM</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(94/3,153)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 (171/7,417)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1.29 (1.01, 1.66)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Other 11 centres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 (377/9,966)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 (694/24,732)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1.35 (1.19, 1.52)</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Preterm birth, by AI</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9.8% (286/2,916)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9.5% (722/7,626)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(0.91, 1.18)</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Other 11 centres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21.0% (1,517/7,218)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14.8% (4,048/27,284)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1.42 (1.34, 1.49)</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Spontaneous labour, by AI</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88.0% (2,555/2,905)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79.0% (5,997/7,587)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(1.09, 1.13)</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w:r>
          </w:p>
        </w:tc>
        <w:tc>
          <w:tcPr>
            <w:tcW w:type="dxa" w:w="15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Other 11 centres</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93.9% (6,711/7,146)</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92.1% (25,063/27,206)</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1.02 (1.01, 1.03)</w:t>
            </w:r>
          </w:p>
        </w:tc>
      </w:tr>
    </w:tbl>
    <w:p>
      <w:pPr>
        <w:spacing w:after="0" w:before="60" w:line="240"/>
      </w:pPr>
      <w:r>
        <w:rPr>
          <w:rFonts w:ascii="Times New Roman" w:cs="Times New Roman" w:eastAsia="Times New Roman" w:hAnsi="Times New Roman"/>
          <w:sz w:val="16"/>
          <w:szCs w:val="16"/>
        </w:rPr>
        <w:t xml:space="preserve">All 45,268 pregnancies with non-missing values. Pre-eclampsia includes superimposed pre-eclampsia. MVM, maternal vascular malperfusion. AI, acute inflammation. RR, relative risk.</w:t>
      </w:r>
    </w:p>
    <w:p>
      <w:r>
        <w:br w:type="page"/>
      </w:r>
    </w:p>
    <w:p>
      <w:pPr>
        <w:keepNext/>
        <w:spacing w:after="120" w:before="0" w:line="276"/>
      </w:pPr>
      <w:r>
        <w:rPr>
          <w:rFonts w:ascii="Times New Roman" w:cs="Times New Roman" w:eastAsia="Times New Roman" w:hAnsi="Times New Roman"/>
          <w:b/>
          <w:bCs/>
          <w:sz w:val="20"/>
          <w:szCs w:val="20"/>
        </w:rPr>
        <w:t xml:space="preserve">Table S10. </w:t>
      </w:r>
      <w:r>
        <w:rPr>
          <w:rFonts w:ascii="Times New Roman" w:cs="Times New Roman" w:eastAsia="Times New Roman" w:hAnsi="Times New Roman"/>
          <w:sz w:val="20"/>
          <w:szCs w:val="20"/>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bl>
    <w:p>
      <w:pPr>
        <w:spacing w:after="0" w:before="60" w:line="240"/>
      </w:pPr>
      <w:r>
        <w:rPr>
          <w:rFonts w:ascii="Times New Roman" w:cs="Times New Roman" w:eastAsia="Times New Roman" w:hAnsi="Times New Roman"/>
          <w:sz w:val="16"/>
          <w:szCs w:val="16"/>
        </w:rPr>
        <w:t xml:space="preserve">Relative risks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S11. </w:t>
      </w:r>
      <w:r>
        <w:rPr>
          <w:rFonts w:ascii="Times New Roman" w:cs="Times New Roman" w:eastAsia="Times New Roman" w:hAnsi="Times New Roman"/>
          <w:sz w:val="20"/>
          <w:szCs w:val="20"/>
        </w:rPr>
        <w:t xml:space="preserve">Associations of placental pathology with definite infantile haemangioma, adjusted for the examining pathologist instead of study 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 (study site)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Examining pathologist</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 (no site)</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(0.99, 1.40)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(0.98, 1.17)</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1.16 (0.98, 1.37)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r>
    </w:tbl>
    <w:p>
      <w:pPr>
        <w:spacing w:after="0" w:before="60" w:line="240"/>
      </w:pPr>
      <w:r>
        <w:rPr>
          <w:rFonts w:ascii="Times New Roman" w:cs="Times New Roman" w:eastAsia="Times New Roman" w:hAnsi="Times New Roman"/>
          <w:sz w:val="16"/>
          <w:szCs w:val="16"/>
        </w:rPr>
        <w:t xml:space="preserve">Relative risks (95% CI), adjusted for 11 covariates with inverse probability of censoring weights. Examining pathologist was defined by site-specific examiner codes on the gross examination form, with examiners who read fewer than 100 placentas grouped within site.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S12. </w:t>
      </w:r>
      <w:r>
        <w:rPr>
          <w:rFonts w:ascii="Times New Roman" w:cs="Times New Roman" w:eastAsia="Times New Roman" w:hAnsi="Times New Roman"/>
          <w:sz w:val="20"/>
          <w:szCs w:val="20"/>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(1.03, 1.37)</w:t>
            </w:r>
          </w:p>
        </w:tc>
      </w:tr>
    </w:tbl>
    <w:p>
      <w:pPr>
        <w:spacing w:after="0" w:before="60" w:line="240"/>
      </w:pPr>
      <w:r>
        <w:rPr>
          <w:rFonts w:ascii="Times New Roman" w:cs="Times New Roman" w:eastAsia="Times New Roman" w:hAnsi="Times New Roman"/>
          <w:sz w:val="16"/>
          <w:szCs w:val="16"/>
        </w:rPr>
        <w:t xml:space="preserve">Relative risks (95% CI). Prespecified sensitivity analysis. Primary: adjusted for 11 covariates and study site, with inverse probability of censoring weights. Secondary: as primary without study site.</w:t>
      </w:r>
    </w:p>
    <w:p>
      <w:r>
        <w:br w:type="page"/>
      </w:r>
    </w:p>
    <w:p>
      <w:pPr>
        <w:keepNext/>
        <w:spacing w:after="120" w:before="0" w:line="276"/>
      </w:pPr>
      <w:r>
        <w:rPr>
          <w:rFonts w:ascii="Times New Roman" w:cs="Times New Roman" w:eastAsia="Times New Roman" w:hAnsi="Times New Roman"/>
          <w:b/>
          <w:bCs/>
          <w:sz w:val="20"/>
          <w:szCs w:val="20"/>
        </w:rPr>
        <w:t xml:space="preserve">Table S13. </w:t>
      </w:r>
      <w:r>
        <w:rPr>
          <w:rFonts w:ascii="Times New Roman" w:cs="Times New Roman" w:eastAsia="Times New Roman" w:hAnsi="Times New Roman"/>
          <w:sz w:val="20"/>
          <w:szCs w:val="20"/>
        </w:rPr>
        <w:t xml:space="preserve">Feasibility and results of a within-mother (sibling)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600"/>
        <w:gridCol w:w="1600"/>
        <w:gridCol w:w="1600"/>
      </w:tblGrid>
      <w:tr>
        <w:trPr>
          <w:tblHeader/>
        </w:trPr>
        <w:tc>
          <w:tcPr>
            <w:tcW w:type="dxa" w:w="4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Step</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Mothers</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Pregnancies</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cases</w:t>
            </w:r>
          </w:p>
        </w:tc>
      </w:tr>
      <w:tr>
        <w:trPr>
          <w:cantSplit/>
        </w:trPr>
        <w:tc>
          <w:tcPr>
            <w:tcW w:type="dxa" w:w="4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infants with observed IH</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34,212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40,700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700</w:t>
            </w:r>
          </w:p>
        </w:tc>
      </w:tr>
      <w:tr>
        <w:trPr>
          <w:cantSplit/>
        </w:trPr>
        <w:tc>
          <w:tcPr>
            <w:tcW w:type="dxa" w:w="4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Mothers with 2 or more infants in the sample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5,412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11,900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181</w:t>
            </w:r>
          </w:p>
        </w:tc>
      </w:tr>
      <w:tr>
        <w:trPr>
          <w:cantSplit/>
        </w:trPr>
        <w:tc>
          <w:tcPr>
            <w:tcW w:type="dxa" w:w="4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sz w:val="16"/>
                <w:szCs w:val="16"/>
              </w:rPr>
              <w:t xml:space="preserve">IH-discordant mothers (at least one case and one non-case)</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174</w:t>
            </w:r>
          </w:p>
        </w:tc>
      </w:tr>
      <w:tr>
        <w:trPr>
          <w:cantSplit/>
        </w:trPr>
        <w:tc>
          <w:tcPr>
            <w:tcW w:type="dxa" w:w="4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sz w:val="16"/>
                <w:szCs w:val="16"/>
              </w:rPr>
              <w:t xml:space="preserve">also discordant on any MVM (informative for MVM)</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79</w:t>
            </w:r>
          </w:p>
        </w:tc>
      </w:tr>
      <w:tr>
        <w:trPr>
          <w:cantSplit/>
        </w:trPr>
        <w:tc>
          <w:tcPr>
            <w:tcW w:type="dxa" w:w="4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sz w:val="16"/>
                <w:szCs w:val="16"/>
              </w:rPr>
              <w:t xml:space="preserve">also discordant on any AI (informative for AI)</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73</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74</w:t>
            </w:r>
          </w:p>
        </w:tc>
      </w:tr>
    </w:tbl>
    <w:p>
      <w:pPr>
        <w:spacing w:after="0" w:before="0" w:line="240"/>
      </w:pPr>
      <w:r>
        <w:rPr>
          <w:rFonts w:ascii="Times New Roman" w:cs="Times New Roman" w:eastAsia="Times New Roman" w:hAnsi="Times New Roman"/>
          <w:sz w:val="16"/>
          <w:szCs w:val="16"/>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2000"/>
      </w:tblGrid>
      <w:tr>
        <w:trPr>
          <w:tblHeader/>
        </w:trPr>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5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Model</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OR (95% CI)</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Within mother, conditional logistic, crude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0.85 (0.54, 1.33)</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Within mother, conditional logistic, + 11 covariates</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0.67 (0.38, 1.17)</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Between mothers, logistic GEE, crude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(0.87, 1.64)</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Between mothers, logistic GEE, + 11 covariates + site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(0.74, 1.44)</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Within mother, conditional logistic, crude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1.17 (0.73, 1.86)</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Within mother, conditional logistic, + 11 covariates</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1.46 (0.83, 2.55)</w:t>
            </w:r>
          </w:p>
        </w:tc>
      </w:tr>
      <w:tr>
        <w:trPr>
          <w:cantSplit/>
        </w:trPr>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5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Between mothers, logistic GEE, crude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1.38 (0.99, 1.91)</w:t>
            </w:r>
          </w:p>
        </w:tc>
      </w:tr>
      <w:tr>
        <w:trPr>
          <w:cantSplit/>
        </w:trPr>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5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Between mothers, logistic GEE, + 11 covariates + site</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(0.87, 1.69)</w:t>
            </w:r>
          </w:p>
        </w:tc>
      </w:tr>
    </w:tbl>
    <w:p>
      <w:pPr>
        <w:spacing w:after="0" w:before="60" w:line="240"/>
      </w:pPr>
      <w:r>
        <w:rPr>
          <w:rFonts w:ascii="Times New Roman" w:cs="Times New Roman" w:eastAsia="Times New Roman" w:hAnsi="Times New Roman"/>
          <w:sz w:val="16"/>
          <w:szCs w:val="16"/>
        </w:rPr>
        <w:t xml:space="preserve">Among 11,900 pregnancies (181 IH cases) of 5,412 mothers with two or more infants in the sample. Only mothers discordant for both IH and the exposure contribute to within-mother estimates. Models adjusted for 11 covariates (and study site for between-mother models), pooled across 20 imputed datasets. OR, odds ratio. IH, infantile haemangioma.</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2026-10-02T17:16:57.384Z</dcterms:created>
  <dcterms:modified xsi:type="dcterms:W3CDTF">2026-10-02T17:16:57.384Z</dcterms:modified>
</cp:coreProperties>
</file>

<file path=docProps/custom.xml><?xml version="1.0" encoding="utf-8"?>
<Properties xmlns="http://schemas.openxmlformats.org/officeDocument/2006/custom-properties" xmlns:vt="http://schemas.openxmlformats.org/officeDocument/2006/docPropsVTypes"/>
</file>