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980B9"/>
          <w:sz w:val="24"/>
          <w:szCs w:val="24"/>
        </w:rPr>
        <w:t xml:space="preserve">GLOBAL SOLUTION</w:t>
      </w:r>
    </w:p>
    <w:p>
      <w:pPr>
        <w:pBdr>
          <w:bottom w:val="single" w:color="1E3A5F" w:sz="6" w:space="1"/>
        </w:pBdr>
        <w:spacing w:after="400" w:before="200"/>
        <w:jc w:val="center"/>
      </w:pPr>
      <w:r>
        <w:rPr>
          <w:rFonts w:ascii="Arial" w:cs="Arial" w:eastAsia="Arial" w:hAnsi="Arial"/>
          <w:color w:val="F5F5F5"/>
          <w:sz w:val="22"/>
          <w:szCs w:val="22"/>
        </w:rPr>
        <w:t xml:space="preserve"/>
      </w:r>
    </w:p>
    <w:p>
      <w:pPr>
        <w:spacing w:after="200" w:before="600"/>
        <w:jc w:val="center"/>
      </w:pPr>
      <w:r>
        <w:rPr>
          <w:rFonts w:ascii="Arial" w:cs="Arial" w:eastAsia="Arial" w:hAnsi="Arial"/>
          <w:b/>
          <w:bCs/>
          <w:color w:val="1E3A5F"/>
          <w:sz w:val="72"/>
          <w:szCs w:val="72"/>
        </w:rPr>
        <w:t xml:space="preserve">OrbitaConecta</w:t>
      </w:r>
    </w:p>
    <w:p>
      <w:pPr>
        <w:spacing w:after="200" w:before="100"/>
        <w:jc w:val="center"/>
      </w:pPr>
      <w:r>
        <w:rPr>
          <w:rFonts w:ascii="Arial" w:cs="Arial" w:eastAsia="Arial" w:hAnsi="Arial"/>
          <w:color w:val="2980B9"/>
          <w:sz w:val="28"/>
          <w:szCs w:val="28"/>
        </w:rPr>
        <w:t xml:space="preserve">Plataforma de Inteligência Espacial para Inclusão Digital Rural</w:t>
      </w:r>
    </w:p>
    <w:p>
      <w:pPr>
        <w:spacing w:after="60" w:before="60"/>
      </w:pPr>
      <w:r>
        <w:t xml:space="preserve"/>
      </w:r>
    </w:p>
    <w:p>
      <w:pPr>
        <w:spacing w:after="100" w:before="400"/>
        <w:jc w:val="center"/>
      </w:pPr>
      <w:r>
        <w:rPr>
          <w:rFonts w:ascii="Arial" w:cs="Arial" w:eastAsia="Arial" w:hAnsi="Arial"/>
          <w:color w:val="555555"/>
          <w:sz w:val="22"/>
          <w:szCs w:val="22"/>
        </w:rPr>
        <w:t xml:space="preserve">Curso: Análise de Dados</w:t>
      </w:r>
    </w:p>
    <w:p>
      <w:pPr>
        <w:spacing w:after="60" w:before="60"/>
        <w:jc w:val="center"/>
      </w:pPr>
      <w:r>
        <w:rPr>
          <w:rFonts w:ascii="Arial" w:cs="Arial" w:eastAsia="Arial" w:hAnsi="Arial"/>
          <w:color w:val="555555"/>
          <w:sz w:val="22"/>
          <w:szCs w:val="22"/>
        </w:rPr>
        <w:t xml:space="preserve">Modalidade: Trio</w:t>
      </w:r>
    </w:p>
    <w:p>
      <w:pPr>
        <w:spacing w:after="60" w:before="60"/>
        <w:jc w:val="center"/>
      </w:pPr>
      <w:r>
        <w:rPr>
          <w:rFonts w:ascii="Arial" w:cs="Arial" w:eastAsia="Arial" w:hAnsi="Arial"/>
          <w:color w:val="555555"/>
          <w:sz w:val="22"/>
          <w:szCs w:val="22"/>
        </w:rPr>
        <w:t xml:space="preserve">São Paulo, 2025</w:t>
      </w:r>
    </w:p>
    <w:p>
      <w:r>
        <w:br w:type="page"/>
      </w:r>
    </w:p>
    <w:p>
      <w:pPr>
        <w:pStyle w:val="Heading1"/>
        <w:spacing w:after="160" w:before="320"/>
      </w:pPr>
      <w:r>
        <w:rPr>
          <w:rFonts w:ascii="Arial" w:cs="Arial" w:eastAsia="Arial" w:hAnsi="Arial"/>
          <w:b/>
          <w:bCs/>
          <w:color w:val="1E3A5F"/>
          <w:sz w:val="32"/>
          <w:szCs w:val="32"/>
        </w:rPr>
        <w:t xml:space="preserve">Sumário</w:t>
      </w:r>
    </w:p>
    <w:p>
      <w:pPr>
        <w:spacing w:after="120" w:before="80"/>
        <w:jc w:val="left"/>
      </w:pPr>
      <w:r>
        <w:rPr>
          <w:rFonts w:ascii="Arial" w:cs="Arial" w:eastAsia="Arial" w:hAnsi="Arial"/>
          <w:color w:val="2980B9"/>
          <w:sz w:val="22"/>
          <w:szCs w:val="22"/>
        </w:rPr>
        <w:t xml:space="preserve">1. Apresentação e Aderência à GS</w:t>
      </w:r>
    </w:p>
    <w:p>
      <w:pPr>
        <w:spacing w:after="120" w:before="80"/>
        <w:jc w:val="left"/>
      </w:pPr>
      <w:r>
        <w:rPr>
          <w:rFonts w:ascii="Arial" w:cs="Arial" w:eastAsia="Arial" w:hAnsi="Arial"/>
          <w:color w:val="2980B9"/>
          <w:sz w:val="22"/>
          <w:szCs w:val="22"/>
        </w:rPr>
        <w:t xml:space="preserve">2. Pitch Executivo</w:t>
      </w:r>
    </w:p>
    <w:p>
      <w:pPr>
        <w:spacing w:after="120" w:before="80"/>
        <w:jc w:val="left"/>
      </w:pPr>
      <w:r>
        <w:rPr>
          <w:rFonts w:ascii="Arial" w:cs="Arial" w:eastAsia="Arial" w:hAnsi="Arial"/>
          <w:color w:val="2980B9"/>
          <w:sz w:val="22"/>
          <w:szCs w:val="22"/>
        </w:rPr>
        <w:t xml:space="preserve">3. Definição do Problema</w:t>
      </w:r>
    </w:p>
    <w:p>
      <w:pPr>
        <w:spacing w:after="120" w:before="80"/>
        <w:jc w:val="left"/>
      </w:pPr>
      <w:r>
        <w:rPr>
          <w:rFonts w:ascii="Arial" w:cs="Arial" w:eastAsia="Arial" w:hAnsi="Arial"/>
          <w:color w:val="2980B9"/>
          <w:sz w:val="22"/>
          <w:szCs w:val="22"/>
        </w:rPr>
        <w:t xml:space="preserve">4. Requisitos e Escopo da Solução</w:t>
      </w:r>
    </w:p>
    <w:p>
      <w:pPr>
        <w:spacing w:after="120" w:before="80"/>
        <w:jc w:val="left"/>
      </w:pPr>
      <w:r>
        <w:rPr>
          <w:rFonts w:ascii="Arial" w:cs="Arial" w:eastAsia="Arial" w:hAnsi="Arial"/>
          <w:color w:val="2980B9"/>
          <w:sz w:val="22"/>
          <w:szCs w:val="22"/>
        </w:rPr>
        <w:t xml:space="preserve">5. Benefícios da Solução</w:t>
      </w:r>
    </w:p>
    <w:p>
      <w:pPr>
        <w:spacing w:after="120" w:before="80"/>
        <w:jc w:val="left"/>
      </w:pPr>
      <w:r>
        <w:rPr>
          <w:rFonts w:ascii="Arial" w:cs="Arial" w:eastAsia="Arial" w:hAnsi="Arial"/>
          <w:color w:val="2980B9"/>
          <w:sz w:val="22"/>
          <w:szCs w:val="22"/>
        </w:rPr>
        <w:t xml:space="preserve">6. Público Impactado</w:t>
      </w:r>
    </w:p>
    <w:p>
      <w:pPr>
        <w:spacing w:after="120" w:before="80"/>
        <w:jc w:val="left"/>
      </w:pPr>
      <w:r>
        <w:rPr>
          <w:rFonts w:ascii="Arial" w:cs="Arial" w:eastAsia="Arial" w:hAnsi="Arial"/>
          <w:color w:val="2980B9"/>
          <w:sz w:val="22"/>
          <w:szCs w:val="22"/>
        </w:rPr>
        <w:t xml:space="preserve">7. Tecnologias Empregadas</w:t>
      </w:r>
    </w:p>
    <w:p>
      <w:pPr>
        <w:spacing w:after="120" w:before="80"/>
        <w:jc w:val="left"/>
      </w:pPr>
      <w:r>
        <w:rPr>
          <w:rFonts w:ascii="Arial" w:cs="Arial" w:eastAsia="Arial" w:hAnsi="Arial"/>
          <w:color w:val="2980B9"/>
          <w:sz w:val="22"/>
          <w:szCs w:val="22"/>
        </w:rPr>
        <w:t xml:space="preserve">8. Protótipo e Visualização de Dados</w:t>
      </w:r>
    </w:p>
    <w:p>
      <w:pPr>
        <w:spacing w:after="120" w:before="80"/>
        <w:jc w:val="left"/>
      </w:pPr>
      <w:r>
        <w:rPr>
          <w:rFonts w:ascii="Arial" w:cs="Arial" w:eastAsia="Arial" w:hAnsi="Arial"/>
          <w:color w:val="2980B9"/>
          <w:sz w:val="22"/>
          <w:szCs w:val="22"/>
        </w:rPr>
        <w:t xml:space="preserve">9. Originalidade e Inovação</w:t>
      </w:r>
    </w:p>
    <w:p>
      <w:pPr>
        <w:spacing w:after="120" w:before="80"/>
        <w:jc w:val="left"/>
      </w:pPr>
      <w:r>
        <w:rPr>
          <w:rFonts w:ascii="Arial" w:cs="Arial" w:eastAsia="Arial" w:hAnsi="Arial"/>
          <w:color w:val="2980B9"/>
          <w:sz w:val="22"/>
          <w:szCs w:val="22"/>
        </w:rPr>
        <w:t xml:space="preserve">10. Aprendizados das Disciplinas</w:t>
      </w:r>
    </w:p>
    <w:p>
      <w:pPr>
        <w:spacing w:after="120" w:before="80"/>
        <w:jc w:val="left"/>
      </w:pPr>
      <w:r>
        <w:rPr>
          <w:rFonts w:ascii="Arial" w:cs="Arial" w:eastAsia="Arial" w:hAnsi="Arial"/>
          <w:color w:val="2980B9"/>
          <w:sz w:val="22"/>
          <w:szCs w:val="22"/>
        </w:rPr>
        <w:t xml:space="preserve">11. Referências</w:t>
      </w:r>
    </w:p>
    <w:p>
      <w:r>
        <w:br w:type="page"/>
      </w:r>
    </w:p>
    <w:p>
      <w:pPr>
        <w:pStyle w:val="Heading1"/>
        <w:spacing w:after="160" w:before="320"/>
      </w:pPr>
      <w:r>
        <w:rPr>
          <w:rFonts w:ascii="Arial" w:cs="Arial" w:eastAsia="Arial" w:hAnsi="Arial"/>
          <w:b/>
          <w:bCs/>
          <w:color w:val="1E3A5F"/>
          <w:sz w:val="32"/>
          <w:szCs w:val="32"/>
        </w:rPr>
        <w:t xml:space="preserve">1. Apresentação e Aderência à GS</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01</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A solução proposta é aderente aos propósitos da GS?</w:t>
            </w:r>
          </w:p>
          <w:p>
            <w:pPr>
              <w:spacing w:before="60"/>
            </w:pPr>
            <w:r>
              <w:rPr>
                <w:rFonts w:ascii="Arial" w:cs="Arial" w:eastAsia="Arial" w:hAnsi="Arial"/>
                <w:color w:val="444444"/>
                <w:sz w:val="20"/>
                <w:szCs w:val="20"/>
              </w:rPr>
              <w:t xml:space="preserve">Sim. A solução utiliza dados do ecossistema espacial para gerar impacto social direto na sociedade brasileira, alinhada ao tema: Data Science, Inovação e Tecnologia a serviço das pessoas.</w:t>
            </w:r>
          </w:p>
        </w:tc>
      </w:tr>
    </w:tbl>
    <w:p>
      <w:pPr>
        <w:spacing w:after="60" w:before="60"/>
      </w:pPr>
      <w:r>
        <w:t xml:space="preserve"/>
      </w:r>
    </w:p>
    <w:p>
      <w:pPr>
        <w:spacing w:after="120" w:before="80"/>
        <w:jc w:val="both"/>
      </w:pPr>
      <w:r>
        <w:rPr>
          <w:rFonts w:ascii="Arial" w:cs="Arial" w:eastAsia="Arial" w:hAnsi="Arial"/>
          <w:color w:val="333333"/>
          <w:sz w:val="22"/>
          <w:szCs w:val="22"/>
        </w:rPr>
        <w:t xml:space="preserve">O OrbitaConecta é uma plataforma de análise de dados que utiliza imagens e sinais de satélites orbitais — especificamente os satélites do programa Copernicus (ESA), Landsat (NASA) e dados de cobertura LEO — para mapear, analisar e priorizar intervenções de conectividade digital em comunidades rurais brasileiras.</w:t>
      </w:r>
    </w:p>
    <w:p>
      <w:pPr>
        <w:spacing w:after="60" w:before="60"/>
      </w:pPr>
      <w:r>
        <w:t xml:space="preserve"/>
      </w:r>
    </w:p>
    <w:p>
      <w:pPr>
        <w:spacing w:after="120" w:before="80"/>
        <w:jc w:val="both"/>
      </w:pPr>
      <w:r>
        <w:rPr>
          <w:rFonts w:ascii="Arial" w:cs="Arial" w:eastAsia="Arial" w:hAnsi="Arial"/>
          <w:color w:val="333333"/>
          <w:sz w:val="22"/>
          <w:szCs w:val="22"/>
        </w:rPr>
        <w:t xml:space="preserve">A proposta dialoga diretamente com o tema da GS ao posicionar a inteligência artificial, a automação e a conectividade espacial a serviço de um futuro mais justo, inclusivo e sustentável para as populações mais vulneráveis do país.</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1.1 Contexto Geral</w:t>
      </w:r>
    </w:p>
    <w:p>
      <w:pPr>
        <w:spacing w:after="120" w:before="80"/>
        <w:jc w:val="both"/>
      </w:pPr>
      <w:r>
        <w:rPr>
          <w:rFonts w:ascii="Arial" w:cs="Arial" w:eastAsia="Arial" w:hAnsi="Arial"/>
          <w:color w:val="333333"/>
          <w:sz w:val="22"/>
          <w:szCs w:val="22"/>
        </w:rPr>
        <w:t xml:space="preserve">O Brasil é o 5º país com maior número de usuários de internet do mundo, mas ainda carrega uma profunda desigualdade digital. Enquanto grandes centros urbanos desfrutam de conectividade de alta velocidade, milhões de brasileiros em áreas rurais permanecem desconectados, excluídos de serviços de saúde digital, educação, emprego e cidadania.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Indicador</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Dado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Fonte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Brasileiros sem internet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41 milhões (19% da população)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TIC Domicílios 2023</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Municípios sem cobertura 4G adequada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Mais de 1.500 municípios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Anatel 2024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Investimento FUST sem priorização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R$ 2 bilhões/ano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MCOM 2024</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Cobertura Starlink no Brasil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100% do território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SpaceX 2024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Custo médio por domicílio rural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R$ 400–800/mês (Starlink)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Estudo FGV 2023</w:t>
            </w:r>
          </w:p>
        </w:tc>
      </w:tr>
    </w:tbl>
    <w:p>
      <w:r>
        <w:br w:type="page"/>
      </w:r>
    </w:p>
    <w:p>
      <w:pPr>
        <w:pStyle w:val="Heading1"/>
        <w:spacing w:after="160" w:before="320"/>
      </w:pPr>
      <w:r>
        <w:rPr>
          <w:rFonts w:ascii="Arial" w:cs="Arial" w:eastAsia="Arial" w:hAnsi="Arial"/>
          <w:b/>
          <w:bCs/>
          <w:color w:val="1E3A5F"/>
          <w:sz w:val="32"/>
          <w:szCs w:val="32"/>
        </w:rPr>
        <w:t xml:space="preserve">2. Pitch Executivo</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02</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O Pitch foi cativante? Qual nível de qualidade da apresentação?</w:t>
            </w:r>
          </w:p>
          <w:p>
            <w:pPr>
              <w:spacing w:before="60"/>
            </w:pPr>
            <w:r>
              <w:rPr>
                <w:rFonts w:ascii="Arial" w:cs="Arial" w:eastAsia="Arial" w:hAnsi="Arial"/>
                <w:color w:val="444444"/>
                <w:sz w:val="20"/>
                <w:szCs w:val="20"/>
              </w:rPr>
              <w:t xml:space="preserve">O pitch utiliza narrativa humana com dados concretos, demonstração ao vivo do protótipo e abertura emocional. Ver Anexo: Roteiro do Pitch de 3 Minutos.</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Abertura impactante</w:t>
      </w:r>
    </w:p>
    <w:p>
      <w:pPr>
        <w:pBdr>
          <w:left w:val="single" w:color="2980B9" w:sz="8" w:space="1"/>
        </w:pBdr>
        <w:spacing w:after="120" w:before="120"/>
        <w:ind w:left="360"/>
        <w:jc w:val="both"/>
      </w:pPr>
      <w:r>
        <w:rPr>
          <w:rFonts w:ascii="Arial" w:cs="Arial" w:eastAsia="Arial" w:hAnsi="Arial"/>
          <w:i/>
          <w:iCs/>
          <w:color w:val="444444"/>
          <w:sz w:val="22"/>
          <w:szCs w:val="22"/>
        </w:rPr>
        <w:t xml:space="preserve">“Imagine um satélite a 600 km de altitude fotografando o Brasil agora mesmo. Ele vê florestas, cidades, estradas — e também vê 41 milhões de pessoas que nunca tiveram acesso à internet. Nós construímos uma ferramenta que usa esses dados para decidir onde a conectividade deve chegar primeiro.”</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Proposta de Valor em Uma Frase</w:t>
      </w:r>
    </w:p>
    <w:p>
      <w:pPr>
        <w:spacing w:after="120" w:before="80"/>
        <w:jc w:val="both"/>
      </w:pPr>
      <w:r>
        <w:rPr>
          <w:rFonts w:ascii="Arial" w:cs="Arial" w:eastAsia="Arial" w:hAnsi="Arial"/>
          <w:color w:val="333333"/>
          <w:sz w:val="22"/>
          <w:szCs w:val="22"/>
        </w:rPr>
        <w:t xml:space="preserve">O OrbitaConecta transforma dados satelitais em decisões inteligentes de conectividade, criando um Índice de Vulnerabilidade Digital que guia onde e como investir em internet para comunidades rurais brasileiras.</w:t>
      </w:r>
    </w:p>
    <w:p>
      <w:pPr>
        <w:spacing w:after="60" w:before="60"/>
      </w:pPr>
      <w:r>
        <w:t xml:space="preserve"/>
      </w:r>
    </w:p>
    <w:p>
      <w:r>
        <w:br w:type="page"/>
      </w:r>
    </w:p>
    <w:p>
      <w:pPr>
        <w:pStyle w:val="Heading1"/>
        <w:spacing w:after="160" w:before="320"/>
      </w:pPr>
      <w:r>
        <w:rPr>
          <w:rFonts w:ascii="Arial" w:cs="Arial" w:eastAsia="Arial" w:hAnsi="Arial"/>
          <w:b/>
          <w:bCs/>
          <w:color w:val="1E3A5F"/>
          <w:sz w:val="32"/>
          <w:szCs w:val="32"/>
        </w:rPr>
        <w:t xml:space="preserve">3. Definição do Problema</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03</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O esclarecimento do problema e sua relevância estão explicados?</w:t>
            </w:r>
          </w:p>
          <w:p>
            <w:pPr>
              <w:spacing w:before="60"/>
            </w:pPr>
            <w:r>
              <w:rPr>
                <w:rFonts w:ascii="Arial" w:cs="Arial" w:eastAsia="Arial" w:hAnsi="Arial"/>
                <w:color w:val="444444"/>
                <w:sz w:val="20"/>
                <w:szCs w:val="20"/>
              </w:rPr>
              <w:t xml:space="preserve">O problema da exclusão digital rural no Brasil é detalhado com dados quantitativos, causas estruturais e impactos mensurados nas dimensões social, econômica e educacional.</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3.1 O Problema Central</w:t>
      </w:r>
    </w:p>
    <w:p>
      <w:pPr>
        <w:spacing w:after="120" w:before="80"/>
        <w:jc w:val="both"/>
      </w:pPr>
      <w:r>
        <w:rPr>
          <w:rFonts w:ascii="Arial" w:cs="Arial" w:eastAsia="Arial" w:hAnsi="Arial"/>
          <w:color w:val="333333"/>
          <w:sz w:val="22"/>
          <w:szCs w:val="22"/>
        </w:rPr>
        <w:t xml:space="preserve">A exclusão digital rural no Brasil é um problema multidimensional com causas estruturais profundas:</w:t>
      </w:r>
    </w:p>
    <w:p>
      <w:pPr>
        <w:pStyle w:val="ListParagraph"/>
        <w:numPr>
          <w:ilvl w:val="0"/>
          <w:numId w:val="2"/>
        </w:numPr>
        <w:spacing w:after="60" w:before="60"/>
      </w:pPr>
      <w:r>
        <w:rPr>
          <w:rFonts w:ascii="Arial" w:cs="Arial" w:eastAsia="Arial" w:hAnsi="Arial"/>
          <w:color w:val="333333"/>
          <w:sz w:val="22"/>
          <w:szCs w:val="22"/>
        </w:rPr>
        <w:t xml:space="preserve">Geograficamente disperso: as comunidades rurais brasileiras ocupam mais de 85% do território nacional, tornando o mapeamento manual de necessidades extremamente custoso e lento.</w:t>
      </w:r>
    </w:p>
    <w:p>
      <w:pPr>
        <w:pStyle w:val="ListParagraph"/>
        <w:numPr>
          <w:ilvl w:val="0"/>
          <w:numId w:val="2"/>
        </w:numPr>
        <w:spacing w:after="60" w:before="60"/>
      </w:pPr>
      <w:r>
        <w:rPr>
          <w:rFonts w:ascii="Arial" w:cs="Arial" w:eastAsia="Arial" w:hAnsi="Arial"/>
          <w:color w:val="333333"/>
          <w:sz w:val="22"/>
          <w:szCs w:val="22"/>
        </w:rPr>
        <w:t xml:space="preserve">Falta de dados de priorização: as decisões de investimento em infraestrutura de telecomunicações frequentemente não seguem critérios objetivos de vulnerabilidade social e digital.</w:t>
      </w:r>
    </w:p>
    <w:p>
      <w:pPr>
        <w:pStyle w:val="ListParagraph"/>
        <w:numPr>
          <w:ilvl w:val="0"/>
          <w:numId w:val="2"/>
        </w:numPr>
        <w:spacing w:after="60" w:before="60"/>
      </w:pPr>
      <w:r>
        <w:rPr>
          <w:rFonts w:ascii="Arial" w:cs="Arial" w:eastAsia="Arial" w:hAnsi="Arial"/>
          <w:color w:val="333333"/>
          <w:sz w:val="22"/>
          <w:szCs w:val="22"/>
        </w:rPr>
        <w:t xml:space="preserve">Investimento ineficiente: o Fundo de Universalização dos Serviços de Telecomunicações (FUST) investe bilhões por ano sem uma camada de inteligência geoespacial que otimize o impacto.</w:t>
      </w:r>
    </w:p>
    <w:p>
      <w:pPr>
        <w:pStyle w:val="ListParagraph"/>
        <w:numPr>
          <w:ilvl w:val="0"/>
          <w:numId w:val="2"/>
        </w:numPr>
        <w:spacing w:after="60" w:before="60"/>
      </w:pPr>
      <w:r>
        <w:rPr>
          <w:rFonts w:ascii="Arial" w:cs="Arial" w:eastAsia="Arial" w:hAnsi="Arial"/>
          <w:color w:val="333333"/>
          <w:sz w:val="22"/>
          <w:szCs w:val="22"/>
        </w:rPr>
        <w:t xml:space="preserve">Dados dispersos e não integrados: informações da Anatel (cobertura), IBGE (censo, IDH) e satélites (uso do solo, densidade habitacional) nunca foram integradas em uma única plataforma acessível.</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3.2 Impactos da Exclusão Digital</w:t>
      </w:r>
    </w:p>
    <w:p>
      <w:pPr>
        <w:spacing w:after="120" w:before="80"/>
        <w:jc w:val="both"/>
      </w:pPr>
      <w:r>
        <w:rPr>
          <w:rFonts w:ascii="Arial" w:cs="Arial" w:eastAsia="Arial" w:hAnsi="Arial"/>
          <w:color w:val="333333"/>
          <w:sz w:val="22"/>
          <w:szCs w:val="22"/>
        </w:rPr>
        <w:t xml:space="preserve">As consequências para as populações sem acesso à internet são abrangentes:</w:t>
      </w:r>
    </w:p>
    <w:p>
      <w:pPr>
        <w:pStyle w:val="ListParagraph"/>
        <w:numPr>
          <w:ilvl w:val="0"/>
          <w:numId w:val="2"/>
        </w:numPr>
        <w:spacing w:after="60" w:before="60"/>
      </w:pPr>
      <w:r>
        <w:rPr>
          <w:rFonts w:ascii="Arial" w:cs="Arial" w:eastAsia="Arial" w:hAnsi="Arial"/>
          <w:color w:val="333333"/>
          <w:sz w:val="22"/>
          <w:szCs w:val="22"/>
        </w:rPr>
        <w:t xml:space="preserve">Educação: estudantes rurais não acessam plataformas EAD, portais educacionais ou ferramentas do MEC.</w:t>
      </w:r>
    </w:p>
    <w:p>
      <w:pPr>
        <w:pStyle w:val="ListParagraph"/>
        <w:numPr>
          <w:ilvl w:val="0"/>
          <w:numId w:val="2"/>
        </w:numPr>
        <w:spacing w:after="60" w:before="60"/>
      </w:pPr>
      <w:r>
        <w:rPr>
          <w:rFonts w:ascii="Arial" w:cs="Arial" w:eastAsia="Arial" w:hAnsi="Arial"/>
          <w:color w:val="333333"/>
          <w:sz w:val="22"/>
          <w:szCs w:val="22"/>
        </w:rPr>
        <w:t xml:space="preserve">Saúde: a telemedicina e os aplicativos do SUS são inacessíveis, especialmente crítico em áreas remotas sem postos de saúde próximos.</w:t>
      </w:r>
    </w:p>
    <w:p>
      <w:pPr>
        <w:pStyle w:val="ListParagraph"/>
        <w:numPr>
          <w:ilvl w:val="0"/>
          <w:numId w:val="2"/>
        </w:numPr>
        <w:spacing w:after="60" w:before="60"/>
      </w:pPr>
      <w:r>
        <w:rPr>
          <w:rFonts w:ascii="Arial" w:cs="Arial" w:eastAsia="Arial" w:hAnsi="Arial"/>
          <w:color w:val="333333"/>
          <w:sz w:val="22"/>
          <w:szCs w:val="22"/>
        </w:rPr>
        <w:t xml:space="preserve">Economia: agricultores familiares sem internet não acessam preços de mercado, programas de financiamento rural (Pronaf) ou canais de venda digital.</w:t>
      </w:r>
    </w:p>
    <w:p>
      <w:pPr>
        <w:pStyle w:val="ListParagraph"/>
        <w:numPr>
          <w:ilvl w:val="0"/>
          <w:numId w:val="2"/>
        </w:numPr>
        <w:spacing w:after="60" w:before="60"/>
      </w:pPr>
      <w:r>
        <w:rPr>
          <w:rFonts w:ascii="Arial" w:cs="Arial" w:eastAsia="Arial" w:hAnsi="Arial"/>
          <w:color w:val="333333"/>
          <w:sz w:val="22"/>
          <w:szCs w:val="22"/>
        </w:rPr>
        <w:t xml:space="preserve">Cidadania: serviços do gov.br, INSS digital e vacinação eletrônica estão fora do alcance dessas populações.</w:t>
      </w:r>
    </w:p>
    <w:p>
      <w:r>
        <w:br w:type="page"/>
      </w:r>
    </w:p>
    <w:p>
      <w:pPr>
        <w:pStyle w:val="Heading1"/>
        <w:spacing w:after="160" w:before="320"/>
      </w:pPr>
      <w:r>
        <w:rPr>
          <w:rFonts w:ascii="Arial" w:cs="Arial" w:eastAsia="Arial" w:hAnsi="Arial"/>
          <w:b/>
          <w:bCs/>
          <w:color w:val="1E3A5F"/>
          <w:sz w:val="32"/>
          <w:szCs w:val="32"/>
        </w:rPr>
        <w:t xml:space="preserve">4. Requisitos e Escopo da Solução</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04</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Foram listados os requisitos da proposta de solução e está claro o seu escopo?</w:t>
            </w:r>
          </w:p>
          <w:p>
            <w:pPr>
              <w:spacing w:before="60"/>
            </w:pPr>
            <w:r>
              <w:rPr>
                <w:rFonts w:ascii="Arial" w:cs="Arial" w:eastAsia="Arial" w:hAnsi="Arial"/>
                <w:color w:val="444444"/>
                <w:sz w:val="20"/>
                <w:szCs w:val="20"/>
              </w:rPr>
              <w:t xml:space="preserve">A solução é delimitada em quatro módulos funcionais com escopo claro: ingestão de dados, modelagem, visualização e consulta pública via API.</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4.1 O que a solução FAZ (dentro do escopo)</w:t>
      </w:r>
    </w:p>
    <w:p>
      <w:pPr>
        <w:pStyle w:val="ListParagraph"/>
        <w:numPr>
          <w:ilvl w:val="0"/>
          <w:numId w:val="3"/>
        </w:numPr>
        <w:spacing w:after="60" w:before="60"/>
      </w:pPr>
      <w:r>
        <w:rPr>
          <w:rFonts w:ascii="Arial" w:cs="Arial" w:eastAsia="Arial" w:hAnsi="Arial"/>
          <w:color w:val="333333"/>
          <w:sz w:val="22"/>
          <w:szCs w:val="22"/>
        </w:rPr>
        <w:t xml:space="preserve">Ingestão e processamento de dados satelitais: download automático de imagens Sentinel-2 e Landsat via Google Earth Engine para extração de índices de uso do solo e densidade habitacional rural.</w:t>
      </w:r>
    </w:p>
    <w:p>
      <w:pPr>
        <w:pStyle w:val="ListParagraph"/>
        <w:numPr>
          <w:ilvl w:val="0"/>
          <w:numId w:val="3"/>
        </w:numPr>
        <w:spacing w:after="60" w:before="60"/>
      </w:pPr>
      <w:r>
        <w:rPr>
          <w:rFonts w:ascii="Arial" w:cs="Arial" w:eastAsia="Arial" w:hAnsi="Arial"/>
          <w:color w:val="333333"/>
          <w:sz w:val="22"/>
          <w:szCs w:val="22"/>
        </w:rPr>
        <w:t xml:space="preserve">Integração com dados socioeconômicos: cruzamento com dados públicos do IBGE (renda per capita, IDH municipal, população rural) e da Anatel (mapa de cobertura de operadoras).</w:t>
      </w:r>
    </w:p>
    <w:p>
      <w:pPr>
        <w:pStyle w:val="ListParagraph"/>
        <w:numPr>
          <w:ilvl w:val="0"/>
          <w:numId w:val="3"/>
        </w:numPr>
        <w:spacing w:after="60" w:before="60"/>
      </w:pPr>
      <w:r>
        <w:rPr>
          <w:rFonts w:ascii="Arial" w:cs="Arial" w:eastAsia="Arial" w:hAnsi="Arial"/>
          <w:color w:val="333333"/>
          <w:sz w:val="22"/>
          <w:szCs w:val="22"/>
        </w:rPr>
        <w:t xml:space="preserve">Modelagem preditiva: aplicação de algoritmo de clustering (K-Means) para segmentar municípios em grupos de prioridade de conexão, gerando o Índice de Vulnerabilidade Digital (IVD).</w:t>
      </w:r>
    </w:p>
    <w:p>
      <w:pPr>
        <w:pStyle w:val="ListParagraph"/>
        <w:numPr>
          <w:ilvl w:val="0"/>
          <w:numId w:val="3"/>
        </w:numPr>
        <w:spacing w:after="60" w:before="60"/>
      </w:pPr>
      <w:r>
        <w:rPr>
          <w:rFonts w:ascii="Arial" w:cs="Arial" w:eastAsia="Arial" w:hAnsi="Arial"/>
          <w:color w:val="333333"/>
          <w:sz w:val="22"/>
          <w:szCs w:val="22"/>
        </w:rPr>
        <w:t xml:space="preserve">Dashboard interativo: visualização de dados em mapa corócletéco do Brasil com filtros por estado, renda, IDH e comparação de cenários.</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4.2 O que a solução NÃO FAZ (fora do escopo)</w:t>
      </w:r>
    </w:p>
    <w:p>
      <w:pPr>
        <w:pStyle w:val="ListParagraph"/>
        <w:numPr>
          <w:ilvl w:val="0"/>
          <w:numId w:val="2"/>
        </w:numPr>
        <w:spacing w:after="60" w:before="60"/>
      </w:pPr>
      <w:r>
        <w:rPr>
          <w:rFonts w:ascii="Arial" w:cs="Arial" w:eastAsia="Arial" w:hAnsi="Arial"/>
          <w:color w:val="333333"/>
          <w:sz w:val="22"/>
          <w:szCs w:val="22"/>
        </w:rPr>
        <w:t xml:space="preserve">Não executa obras de infraestrutura de telecomunicações.</w:t>
      </w:r>
    </w:p>
    <w:p>
      <w:pPr>
        <w:pStyle w:val="ListParagraph"/>
        <w:numPr>
          <w:ilvl w:val="0"/>
          <w:numId w:val="2"/>
        </w:numPr>
        <w:spacing w:after="60" w:before="60"/>
      </w:pPr>
      <w:r>
        <w:rPr>
          <w:rFonts w:ascii="Arial" w:cs="Arial" w:eastAsia="Arial" w:hAnsi="Arial"/>
          <w:color w:val="333333"/>
          <w:sz w:val="22"/>
          <w:szCs w:val="22"/>
        </w:rPr>
        <w:t xml:space="preserve">Não negocia contratos com operadoras ou ISPs.</w:t>
      </w:r>
    </w:p>
    <w:p>
      <w:pPr>
        <w:pStyle w:val="ListParagraph"/>
        <w:numPr>
          <w:ilvl w:val="0"/>
          <w:numId w:val="2"/>
        </w:numPr>
        <w:spacing w:after="60" w:before="60"/>
      </w:pPr>
      <w:r>
        <w:rPr>
          <w:rFonts w:ascii="Arial" w:cs="Arial" w:eastAsia="Arial" w:hAnsi="Arial"/>
          <w:color w:val="333333"/>
          <w:sz w:val="22"/>
          <w:szCs w:val="22"/>
        </w:rPr>
        <w:t xml:space="preserve">Não é uma plataforma de acesso à internet para usuários finais.</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4.3 Requisitos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Requisito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Prioridade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Baixar e processar imagens de satélite automaticamente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Alta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Integrar dados IBGE e Anatel por município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Alta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Calcular o Índice de Vulnerabilidade Digital (IVD)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Alta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RF04</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Exibir mapa interativo com filtros dinâmicos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Alta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Comparar cenários: sem e com intervenção da IA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Média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RF06</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Exportar relatórios em CSV/PDF por região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Média</w:t>
            </w:r>
          </w:p>
        </w:tc>
      </w:tr>
    </w:tbl>
    <w:p>
      <w:r>
        <w:br w:type="page"/>
      </w:r>
    </w:p>
    <w:p>
      <w:pPr>
        <w:pStyle w:val="Heading1"/>
        <w:spacing w:after="160" w:before="320"/>
      </w:pPr>
      <w:r>
        <w:rPr>
          <w:rFonts w:ascii="Arial" w:cs="Arial" w:eastAsia="Arial" w:hAnsi="Arial"/>
          <w:b/>
          <w:bCs/>
          <w:color w:val="1E3A5F"/>
          <w:sz w:val="32"/>
          <w:szCs w:val="32"/>
        </w:rPr>
        <w:t xml:space="preserve">5. Benefícios da Solução</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05</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Os benefícios são bem definidos? Estão relacionados de maneira explícita?</w:t>
            </w:r>
          </w:p>
          <w:p>
            <w:pPr>
              <w:spacing w:before="60"/>
            </w:pPr>
            <w:r>
              <w:rPr>
                <w:rFonts w:ascii="Arial" w:cs="Arial" w:eastAsia="Arial" w:hAnsi="Arial"/>
                <w:color w:val="444444"/>
                <w:sz w:val="20"/>
                <w:szCs w:val="20"/>
              </w:rPr>
              <w:t xml:space="preserve">Os benefícios são detalhados em quatro categorias: financeiro, social, operacional e ambiental, com indicadores de impacto mensuráveis.</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5.1 Benefícios Financeiros</w:t>
      </w:r>
    </w:p>
    <w:p>
      <w:pPr>
        <w:pStyle w:val="ListParagraph"/>
        <w:numPr>
          <w:ilvl w:val="0"/>
          <w:numId w:val="2"/>
        </w:numPr>
        <w:spacing w:after="60" w:before="60"/>
      </w:pPr>
      <w:r>
        <w:rPr>
          <w:rFonts w:ascii="Arial" w:cs="Arial" w:eastAsia="Arial" w:hAnsi="Arial"/>
          <w:color w:val="333333"/>
          <w:sz w:val="22"/>
          <w:szCs w:val="22"/>
        </w:rPr>
        <w:t xml:space="preserve">Redução de até 80% no custo de levantamento de campo para mapeamento de áreas desconectadas (substitui visitas presenciais por análise remota de dados satelitais).</w:t>
      </w:r>
    </w:p>
    <w:p>
      <w:pPr>
        <w:pStyle w:val="ListParagraph"/>
        <w:numPr>
          <w:ilvl w:val="0"/>
          <w:numId w:val="2"/>
        </w:numPr>
        <w:spacing w:after="60" w:before="60"/>
      </w:pPr>
      <w:r>
        <w:rPr>
          <w:rFonts w:ascii="Arial" w:cs="Arial" w:eastAsia="Arial" w:hAnsi="Arial"/>
          <w:color w:val="333333"/>
          <w:sz w:val="22"/>
          <w:szCs w:val="22"/>
        </w:rPr>
        <w:t xml:space="preserve">Otimização do investimento público do FUST: priorizando os 200 municípios mais vulneráveis, o impacto por real investido pode aumentar em até 3x.</w:t>
      </w:r>
    </w:p>
    <w:p>
      <w:pPr>
        <w:pStyle w:val="ListParagraph"/>
        <w:numPr>
          <w:ilvl w:val="0"/>
          <w:numId w:val="2"/>
        </w:numPr>
        <w:spacing w:after="60" w:before="60"/>
      </w:pPr>
      <w:r>
        <w:rPr>
          <w:rFonts w:ascii="Arial" w:cs="Arial" w:eastAsia="Arial" w:hAnsi="Arial"/>
          <w:color w:val="333333"/>
          <w:sz w:val="22"/>
          <w:szCs w:val="22"/>
        </w:rPr>
        <w:t xml:space="preserve">Redução de riscos para ISPs regionais: a plataforma oferece inteligência de mercado sobre demanda reprimida, tornando projetos de expansão mais atraentes para investimento privado.</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5.2 Benefícios Sociais</w:t>
      </w:r>
    </w:p>
    <w:p>
      <w:pPr>
        <w:pStyle w:val="ListParagraph"/>
        <w:numPr>
          <w:ilvl w:val="0"/>
          <w:numId w:val="2"/>
        </w:numPr>
        <w:spacing w:after="60" w:before="60"/>
      </w:pPr>
      <w:r>
        <w:rPr>
          <w:rFonts w:ascii="Arial" w:cs="Arial" w:eastAsia="Arial" w:hAnsi="Arial"/>
          <w:color w:val="333333"/>
          <w:sz w:val="22"/>
          <w:szCs w:val="22"/>
        </w:rPr>
        <w:t xml:space="preserve">Inclusão digital de populações em situação de maior vulnerabilidade socioeconômica, com priorização científica e transparente.</w:t>
      </w:r>
    </w:p>
    <w:p>
      <w:pPr>
        <w:pStyle w:val="ListParagraph"/>
        <w:numPr>
          <w:ilvl w:val="0"/>
          <w:numId w:val="2"/>
        </w:numPr>
        <w:spacing w:after="60" w:before="60"/>
      </w:pPr>
      <w:r>
        <w:rPr>
          <w:rFonts w:ascii="Arial" w:cs="Arial" w:eastAsia="Arial" w:hAnsi="Arial"/>
          <w:color w:val="333333"/>
          <w:sz w:val="22"/>
          <w:szCs w:val="22"/>
        </w:rPr>
        <w:t xml:space="preserve">Acesso a serviços digitais essenciais: saúde (telemedicina), educação (EAD), governo (gov.br) e economia (e-commerce rural).</w:t>
      </w:r>
    </w:p>
    <w:p>
      <w:pPr>
        <w:pStyle w:val="ListParagraph"/>
        <w:numPr>
          <w:ilvl w:val="0"/>
          <w:numId w:val="2"/>
        </w:numPr>
        <w:spacing w:after="60" w:before="60"/>
      </w:pPr>
      <w:r>
        <w:rPr>
          <w:rFonts w:ascii="Arial" w:cs="Arial" w:eastAsia="Arial" w:hAnsi="Arial"/>
          <w:color w:val="333333"/>
          <w:sz w:val="22"/>
          <w:szCs w:val="22"/>
        </w:rPr>
        <w:t xml:space="preserve">Redução da desigualdade digital entre regiões do Brasil, com foco especial no Norte e Nordeste.</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5.3 Benefícios Operacionais</w:t>
      </w:r>
    </w:p>
    <w:p>
      <w:pPr>
        <w:pStyle w:val="ListParagraph"/>
        <w:numPr>
          <w:ilvl w:val="0"/>
          <w:numId w:val="2"/>
        </w:numPr>
        <w:spacing w:after="60" w:before="60"/>
      </w:pPr>
      <w:r>
        <w:rPr>
          <w:rFonts w:ascii="Arial" w:cs="Arial" w:eastAsia="Arial" w:hAnsi="Arial"/>
          <w:color w:val="333333"/>
          <w:sz w:val="22"/>
          <w:szCs w:val="22"/>
        </w:rPr>
        <w:t xml:space="preserve">Dashboard de acesso público: gestores municipais, estaduais e federais têm acesso transparente às análises sem depender de consultorias externas.</w:t>
      </w:r>
    </w:p>
    <w:p>
      <w:pPr>
        <w:pStyle w:val="ListParagraph"/>
        <w:numPr>
          <w:ilvl w:val="0"/>
          <w:numId w:val="2"/>
        </w:numPr>
        <w:spacing w:after="60" w:before="60"/>
      </w:pPr>
      <w:r>
        <w:rPr>
          <w:rFonts w:ascii="Arial" w:cs="Arial" w:eastAsia="Arial" w:hAnsi="Arial"/>
          <w:color w:val="333333"/>
          <w:sz w:val="22"/>
          <w:szCs w:val="22"/>
        </w:rPr>
        <w:t xml:space="preserve">Dados atualizados automaticamente com cada nova órbita dos satélites Sentinel-2 (a cada 5 dias sobre o Brasil).</w:t>
      </w:r>
    </w:p>
    <w:p>
      <w:r>
        <w:br w:type="page"/>
      </w:r>
    </w:p>
    <w:p>
      <w:pPr>
        <w:pStyle w:val="Heading1"/>
        <w:spacing w:after="160" w:before="320"/>
      </w:pPr>
      <w:r>
        <w:rPr>
          <w:rFonts w:ascii="Arial" w:cs="Arial" w:eastAsia="Arial" w:hAnsi="Arial"/>
          <w:b/>
          <w:bCs/>
          <w:color w:val="1E3A5F"/>
          <w:sz w:val="32"/>
          <w:szCs w:val="32"/>
        </w:rPr>
        <w:t xml:space="preserve">6. Público Impactado</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06</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Está justificado quem serão as pessoas/público impactado pela solução?</w:t>
            </w:r>
          </w:p>
          <w:p>
            <w:pPr>
              <w:spacing w:before="60"/>
            </w:pPr>
            <w:r>
              <w:rPr>
                <w:rFonts w:ascii="Arial" w:cs="Arial" w:eastAsia="Arial" w:hAnsi="Arial"/>
                <w:color w:val="444444"/>
                <w:sz w:val="20"/>
                <w:szCs w:val="20"/>
              </w:rPr>
              <w:t xml:space="preserve">O público é segmentado em três camadas: beneficiários diretos, usuários da plataforma e parceiros institucionais, com caracterização detalhada de cada grupo.</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6.1 Beneficiários Diretos (impacto final)</w:t>
      </w:r>
    </w:p>
    <w:p>
      <w:pPr>
        <w:spacing w:after="120" w:before="80"/>
        <w:jc w:val="both"/>
      </w:pPr>
      <w:r>
        <w:rPr>
          <w:rFonts w:ascii="Arial" w:cs="Arial" w:eastAsia="Arial" w:hAnsi="Arial"/>
          <w:color w:val="333333"/>
          <w:sz w:val="22"/>
          <w:szCs w:val="22"/>
        </w:rPr>
        <w:t xml:space="preserve">São as 41 milhões de pessoas sem acesso à internet, concentradas principalmente em:</w:t>
      </w:r>
    </w:p>
    <w:p>
      <w:pPr>
        <w:pStyle w:val="ListParagraph"/>
        <w:numPr>
          <w:ilvl w:val="0"/>
          <w:numId w:val="2"/>
        </w:numPr>
        <w:spacing w:after="60" w:before="60"/>
      </w:pPr>
      <w:r>
        <w:rPr>
          <w:rFonts w:ascii="Arial" w:cs="Arial" w:eastAsia="Arial" w:hAnsi="Arial"/>
          <w:color w:val="333333"/>
          <w:sz w:val="22"/>
          <w:szCs w:val="22"/>
        </w:rPr>
        <w:t xml:space="preserve">Comunidades quilombolas e indígenas em áreas remotas.</w:t>
      </w:r>
    </w:p>
    <w:p>
      <w:pPr>
        <w:pStyle w:val="ListParagraph"/>
        <w:numPr>
          <w:ilvl w:val="0"/>
          <w:numId w:val="2"/>
        </w:numPr>
        <w:spacing w:after="60" w:before="60"/>
      </w:pPr>
      <w:r>
        <w:rPr>
          <w:rFonts w:ascii="Arial" w:cs="Arial" w:eastAsia="Arial" w:hAnsi="Arial"/>
          <w:color w:val="333333"/>
          <w:sz w:val="22"/>
          <w:szCs w:val="22"/>
        </w:rPr>
        <w:t xml:space="preserve">Agricultores familiares nas regiões do Semiarádo nordestino e Amazônia Legal.</w:t>
      </w:r>
    </w:p>
    <w:p>
      <w:pPr>
        <w:pStyle w:val="ListParagraph"/>
        <w:numPr>
          <w:ilvl w:val="0"/>
          <w:numId w:val="2"/>
        </w:numPr>
        <w:spacing w:after="60" w:before="60"/>
      </w:pPr>
      <w:r>
        <w:rPr>
          <w:rFonts w:ascii="Arial" w:cs="Arial" w:eastAsia="Arial" w:hAnsi="Arial"/>
          <w:color w:val="333333"/>
          <w:sz w:val="22"/>
          <w:szCs w:val="22"/>
        </w:rPr>
        <w:t xml:space="preserve">Crianças e jovens em municípios com IDH abaixo de 0,6 sem acesso à educação digital.</w:t>
      </w:r>
    </w:p>
    <w:p>
      <w:pPr>
        <w:pStyle w:val="ListParagraph"/>
        <w:numPr>
          <w:ilvl w:val="0"/>
          <w:numId w:val="2"/>
        </w:numPr>
        <w:spacing w:after="60" w:before="60"/>
      </w:pPr>
      <w:r>
        <w:rPr>
          <w:rFonts w:ascii="Arial" w:cs="Arial" w:eastAsia="Arial" w:hAnsi="Arial"/>
          <w:color w:val="333333"/>
          <w:sz w:val="22"/>
          <w:szCs w:val="22"/>
        </w:rPr>
        <w:t xml:space="preserve">Idosos e populações vulneráveis em zona rural sem acesso a serviços do INSS e SUS digital.</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6.2 Usuários da Plataforma</w:t>
      </w:r>
    </w:p>
    <w:p>
      <w:pPr>
        <w:pStyle w:val="ListParagraph"/>
        <w:numPr>
          <w:ilvl w:val="0"/>
          <w:numId w:val="2"/>
        </w:numPr>
        <w:spacing w:after="60" w:before="60"/>
      </w:pPr>
      <w:r>
        <w:rPr>
          <w:rFonts w:ascii="Arial" w:cs="Arial" w:eastAsia="Arial" w:hAnsi="Arial"/>
          <w:color w:val="333333"/>
          <w:sz w:val="22"/>
          <w:szCs w:val="22"/>
        </w:rPr>
        <w:t xml:space="preserve">Gestores do Ministério das Comunicações e da Anatel para tomada de decisão sobre alocação do FUST.</w:t>
      </w:r>
    </w:p>
    <w:p>
      <w:pPr>
        <w:pStyle w:val="ListParagraph"/>
        <w:numPr>
          <w:ilvl w:val="0"/>
          <w:numId w:val="2"/>
        </w:numPr>
        <w:spacing w:after="60" w:before="60"/>
      </w:pPr>
      <w:r>
        <w:rPr>
          <w:rFonts w:ascii="Arial" w:cs="Arial" w:eastAsia="Arial" w:hAnsi="Arial"/>
          <w:color w:val="333333"/>
          <w:sz w:val="22"/>
          <w:szCs w:val="22"/>
        </w:rPr>
        <w:t xml:space="preserve">Prefeituras municipais e secretarias estaduais de desenvolvimento tecnológico.</w:t>
      </w:r>
    </w:p>
    <w:p>
      <w:pPr>
        <w:pStyle w:val="ListParagraph"/>
        <w:numPr>
          <w:ilvl w:val="0"/>
          <w:numId w:val="2"/>
        </w:numPr>
        <w:spacing w:after="60" w:before="60"/>
      </w:pPr>
      <w:r>
        <w:rPr>
          <w:rFonts w:ascii="Arial" w:cs="Arial" w:eastAsia="Arial" w:hAnsi="Arial"/>
          <w:color w:val="333333"/>
          <w:sz w:val="22"/>
          <w:szCs w:val="22"/>
        </w:rPr>
        <w:t xml:space="preserve">Provedores de internet regionais (ISPs) em busca de inteligência de mercado.</w:t>
      </w:r>
    </w:p>
    <w:p>
      <w:pPr>
        <w:pStyle w:val="ListParagraph"/>
        <w:numPr>
          <w:ilvl w:val="0"/>
          <w:numId w:val="2"/>
        </w:numPr>
        <w:spacing w:after="60" w:before="60"/>
      </w:pPr>
      <w:r>
        <w:rPr>
          <w:rFonts w:ascii="Arial" w:cs="Arial" w:eastAsia="Arial" w:hAnsi="Arial"/>
          <w:color w:val="333333"/>
          <w:sz w:val="22"/>
          <w:szCs w:val="22"/>
        </w:rPr>
        <w:t xml:space="preserve">ONGs e institutos de inclusão digital (ex: Instituto TIM, Fundación Télefonica).</w:t>
      </w:r>
    </w:p>
    <w:p>
      <w:pPr>
        <w:pStyle w:val="ListParagraph"/>
        <w:numPr>
          <w:ilvl w:val="0"/>
          <w:numId w:val="2"/>
        </w:numPr>
        <w:spacing w:after="60" w:before="60"/>
      </w:pPr>
      <w:r>
        <w:rPr>
          <w:rFonts w:ascii="Arial" w:cs="Arial" w:eastAsia="Arial" w:hAnsi="Arial"/>
          <w:color w:val="333333"/>
          <w:sz w:val="22"/>
          <w:szCs w:val="22"/>
        </w:rPr>
        <w:t xml:space="preserve">Pesquisadores e universidades em estudos de desigualdade digital.</w:t>
      </w:r>
    </w:p>
    <w:p>
      <w:r>
        <w:br w:type="page"/>
      </w:r>
    </w:p>
    <w:p>
      <w:pPr>
        <w:pStyle w:val="Heading1"/>
        <w:spacing w:after="160" w:before="320"/>
      </w:pPr>
      <w:r>
        <w:rPr>
          <w:rFonts w:ascii="Arial" w:cs="Arial" w:eastAsia="Arial" w:hAnsi="Arial"/>
          <w:b/>
          <w:bCs/>
          <w:color w:val="1E3A5F"/>
          <w:sz w:val="32"/>
          <w:szCs w:val="32"/>
        </w:rPr>
        <w:t xml:space="preserve">7. Tecnologias Empregadas</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07</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Foram levantadas as tecnologias necessárias para a solução e como serão empregadas?</w:t>
            </w:r>
          </w:p>
          <w:p>
            <w:pPr>
              <w:spacing w:before="60"/>
            </w:pPr>
            <w:r>
              <w:rPr>
                <w:rFonts w:ascii="Arial" w:cs="Arial" w:eastAsia="Arial" w:hAnsi="Arial"/>
                <w:color w:val="444444"/>
                <w:sz w:val="20"/>
                <w:szCs w:val="20"/>
              </w:rPr>
              <w:t xml:space="preserve">Stack tecnológico completamente mapeado, com fontes de dados gratuitas e open source, organizado em quatro camadas: coleta, processamento, modelagem e visualização.</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7.1 Camada de Coleta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Fonte / Acesso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Aplicação no Projeto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Google Earth Engine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earthengine.google.com (gratuito)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API Python para download de imagens Sentinel-2 e Landsat filtradas por região 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Anatel Open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sistemas.anatel.gov.br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Dados de cobertura de operadoras por município em formato shapefile (.shp).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IBGE SIDRA / API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sidra.ibge.gov.br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Censusários de renda, IDH, população rural e caracterização municipal.</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7.2 Camada de Processamento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Fonte / Acesso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Aplicação no Projeto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Python 3.11+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Open source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Linguagem principal para toda a pipeline de dados.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GeoPandas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geopandas.org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Manipulação de dados geoespaciais, união de shapefiles e cálculos de área.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Rasterio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rasterio.readthedocs.io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Processamento de imagens raster (GeoTIFF) dos satélites.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Pandas / NumPy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 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Transformação, limpeza e agregação dos dados tabulares.</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7.3 Camada de Modelagem com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Fonte / Acesso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Aplicação no Projeto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Scikit-learn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scikit-learn.org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Algoritmo K-Means para clustering de municípios em grupos de prioridade.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NDVI (Sentinel-2)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ESA Copernicus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Índice de Vegetação Normalizado para identificar densidade habitacional rural.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Índice IVD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Desenvolvido internamente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Combinação ponderada de cobertura, IDH, renda e densidade habitacional.</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7.4 Camada de Visualização (Protótipo)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Fonte / Acesso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Aplicação no Projeto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Streamlit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streamlit.io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Framework para o dashboard interativo em Python, sem necessidade de front-end separado.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Plotly / Folium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plotly.com / folium.readthedocs.io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Mapas corócletécos interativos com tooltips e filtros dinâmicos.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GitHub Pages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github.com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Hospedagem grátis do protótipo para demonstração no pitch.</w:t>
            </w:r>
          </w:p>
        </w:tc>
      </w:tr>
    </w:tbl>
    <w:p>
      <w:r>
        <w:br w:type="page"/>
      </w:r>
    </w:p>
    <w:p>
      <w:pPr>
        <w:pStyle w:val="Heading1"/>
        <w:spacing w:after="160" w:before="320"/>
      </w:pPr>
      <w:r>
        <w:rPr>
          <w:rFonts w:ascii="Arial" w:cs="Arial" w:eastAsia="Arial" w:hAnsi="Arial"/>
          <w:b/>
          <w:bCs/>
          <w:color w:val="1E3A5F"/>
          <w:sz w:val="32"/>
          <w:szCs w:val="32"/>
        </w:rPr>
        <w:t xml:space="preserve">8. Protótipo e Visualização de Dados</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08</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O protótipo contempla conjunto de telas e permite visualização de dados com interação entre cenários?</w:t>
            </w:r>
          </w:p>
          <w:p>
            <w:pPr>
              <w:spacing w:before="60"/>
            </w:pPr>
            <w:r>
              <w:rPr>
                <w:rFonts w:ascii="Arial" w:cs="Arial" w:eastAsia="Arial" w:hAnsi="Arial"/>
                <w:color w:val="444444"/>
                <w:sz w:val="20"/>
                <w:szCs w:val="20"/>
              </w:rPr>
              <w:t xml:space="preserve">O dashboard Streamlit possui 4 telas funcionais: Visão Geral, Mapa de Vulnerabilidade, Análise por Município e Cenários de Intervenção.</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8.1 Telas do Protótipo</w:t>
      </w:r>
    </w:p>
    <w:p>
      <w:pPr>
        <w:pStyle w:val="ListParagraph"/>
        <w:numPr>
          <w:ilvl w:val="0"/>
          <w:numId w:val="2"/>
        </w:numPr>
        <w:spacing w:after="60" w:before="60"/>
      </w:pPr>
      <w:r>
        <w:rPr>
          <w:rFonts w:ascii="Arial" w:cs="Arial" w:eastAsia="Arial" w:hAnsi="Arial"/>
          <w:color w:val="333333"/>
          <w:sz w:val="22"/>
          <w:szCs w:val="22"/>
        </w:rPr>
        <w:t xml:space="preserve">Tela 1 — Visão Geral Nacional: mapa corócletéco do Brasil com o Índice IVD por município, métricas nacionais (total de municípios críticos, população afetada, cobertura atual).</w:t>
      </w:r>
    </w:p>
    <w:p>
      <w:pPr>
        <w:pStyle w:val="ListParagraph"/>
        <w:numPr>
          <w:ilvl w:val="0"/>
          <w:numId w:val="2"/>
        </w:numPr>
        <w:spacing w:after="60" w:before="60"/>
      </w:pPr>
      <w:r>
        <w:rPr>
          <w:rFonts w:ascii="Arial" w:cs="Arial" w:eastAsia="Arial" w:hAnsi="Arial"/>
          <w:color w:val="333333"/>
          <w:sz w:val="22"/>
          <w:szCs w:val="22"/>
        </w:rPr>
        <w:t xml:space="preserve">Tela 2 — Mapa de Vulnerabilidade: filtros por estado, região, faixa de IDH e nível de cobertura Anatel. Mapa dinâmico que reage aos filtros em tempo real.</w:t>
      </w:r>
    </w:p>
    <w:p>
      <w:pPr>
        <w:pStyle w:val="ListParagraph"/>
        <w:numPr>
          <w:ilvl w:val="0"/>
          <w:numId w:val="2"/>
        </w:numPr>
        <w:spacing w:after="60" w:before="60"/>
      </w:pPr>
      <w:r>
        <w:rPr>
          <w:rFonts w:ascii="Arial" w:cs="Arial" w:eastAsia="Arial" w:hAnsi="Arial"/>
          <w:color w:val="333333"/>
          <w:sz w:val="22"/>
          <w:szCs w:val="22"/>
        </w:rPr>
        <w:t xml:space="preserve">Tela 3 — Análise por Município: ao clicar em um município no mapa, exibe painel lateral com IDH, renda média, população rural, cobertura atual e score IVD.</w:t>
      </w:r>
    </w:p>
    <w:p>
      <w:pPr>
        <w:pStyle w:val="ListParagraph"/>
        <w:numPr>
          <w:ilvl w:val="0"/>
          <w:numId w:val="2"/>
        </w:numPr>
        <w:spacing w:after="60" w:before="60"/>
      </w:pPr>
      <w:r>
        <w:rPr>
          <w:rFonts w:ascii="Arial" w:cs="Arial" w:eastAsia="Arial" w:hAnsi="Arial"/>
          <w:color w:val="333333"/>
          <w:sz w:val="22"/>
          <w:szCs w:val="22"/>
        </w:rPr>
        <w:t xml:space="preserve">Tela 4 — Cenários de Intervenção: comparação lado a lado de 'sem intervenção' vs. 'priorização por IVD', mostrando quantas pessoas seriam conectadas em cada modelo.</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8.2 Dados Utilizados no Protótipo</w:t>
      </w:r>
    </w:p>
    <w:p>
      <w:pPr>
        <w:spacing w:after="120" w:before="80"/>
        <w:jc w:val="both"/>
      </w:pPr>
      <w:r>
        <w:rPr>
          <w:rFonts w:ascii="Arial" w:cs="Arial" w:eastAsia="Arial" w:hAnsi="Arial"/>
          <w:color w:val="333333"/>
          <w:sz w:val="22"/>
          <w:szCs w:val="22"/>
        </w:rPr>
        <w:t xml:space="preserve">O protótipo utiliza dados reais e gratuitos:</w:t>
      </w:r>
    </w:p>
    <w:p>
      <w:pPr>
        <w:pStyle w:val="ListParagraph"/>
        <w:numPr>
          <w:ilvl w:val="0"/>
          <w:numId w:val="2"/>
        </w:numPr>
        <w:spacing w:after="60" w:before="60"/>
      </w:pPr>
      <w:r>
        <w:rPr>
          <w:rFonts w:ascii="Arial" w:cs="Arial" w:eastAsia="Arial" w:hAnsi="Arial"/>
          <w:color w:val="333333"/>
          <w:sz w:val="22"/>
          <w:szCs w:val="22"/>
        </w:rPr>
        <w:t xml:space="preserve">Shapefile de municípios brasileiros: IBGE (5.570 municípios).</w:t>
      </w:r>
    </w:p>
    <w:p>
      <w:pPr>
        <w:pStyle w:val="ListParagraph"/>
        <w:numPr>
          <w:ilvl w:val="0"/>
          <w:numId w:val="2"/>
        </w:numPr>
        <w:spacing w:after="60" w:before="60"/>
      </w:pPr>
      <w:r>
        <w:rPr>
          <w:rFonts w:ascii="Arial" w:cs="Arial" w:eastAsia="Arial" w:hAnsi="Arial"/>
          <w:color w:val="333333"/>
          <w:sz w:val="22"/>
          <w:szCs w:val="22"/>
        </w:rPr>
        <w:t xml:space="preserve">Dados de cobertura 4G por município: Anatel Portal de Dados Abertos.</w:t>
      </w:r>
    </w:p>
    <w:p>
      <w:pPr>
        <w:pStyle w:val="ListParagraph"/>
        <w:numPr>
          <w:ilvl w:val="0"/>
          <w:numId w:val="2"/>
        </w:numPr>
        <w:spacing w:after="60" w:before="60"/>
      </w:pPr>
      <w:r>
        <w:rPr>
          <w:rFonts w:ascii="Arial" w:cs="Arial" w:eastAsia="Arial" w:hAnsi="Arial"/>
          <w:color w:val="333333"/>
          <w:sz w:val="22"/>
          <w:szCs w:val="22"/>
        </w:rPr>
        <w:t xml:space="preserve">IDH e renda per capita: Atlas Brasil / PNUD.</w:t>
      </w:r>
    </w:p>
    <w:p>
      <w:pPr>
        <w:pStyle w:val="ListParagraph"/>
        <w:numPr>
          <w:ilvl w:val="0"/>
          <w:numId w:val="2"/>
        </w:numPr>
        <w:spacing w:after="60" w:before="60"/>
      </w:pPr>
      <w:r>
        <w:rPr>
          <w:rFonts w:ascii="Arial" w:cs="Arial" w:eastAsia="Arial" w:hAnsi="Arial"/>
          <w:color w:val="333333"/>
          <w:sz w:val="22"/>
          <w:szCs w:val="22"/>
        </w:rPr>
        <w:t xml:space="preserve">Densidade de domicílios rurais: Censo IBGE 2022.</w:t>
      </w:r>
    </w:p>
    <w:p>
      <w:r>
        <w:br w:type="page"/>
      </w:r>
    </w:p>
    <w:p>
      <w:pPr>
        <w:pStyle w:val="Heading1"/>
        <w:spacing w:after="160" w:before="320"/>
      </w:pPr>
      <w:r>
        <w:rPr>
          <w:rFonts w:ascii="Arial" w:cs="Arial" w:eastAsia="Arial" w:hAnsi="Arial"/>
          <w:b/>
          <w:bCs/>
          <w:color w:val="1E3A5F"/>
          <w:sz w:val="32"/>
          <w:szCs w:val="32"/>
        </w:rPr>
        <w:t xml:space="preserve">9. Originalidade e Inovação</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09</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É uma ideia original e única? O quão inovadora e disrruptiva a solução é?</w:t>
            </w:r>
          </w:p>
          <w:p>
            <w:pPr>
              <w:spacing w:before="60"/>
            </w:pPr>
            <w:r>
              <w:rPr>
                <w:rFonts w:ascii="Arial" w:cs="Arial" w:eastAsia="Arial" w:hAnsi="Arial"/>
                <w:color w:val="444444"/>
                <w:sz w:val="20"/>
                <w:szCs w:val="20"/>
              </w:rPr>
              <w:t xml:space="preserve">O OrbitaConecta é original por combinar três fontes de dados nunca integradas antes (orbital, socioeconômico e telecomunicações) em um único índice de ação.</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9.1 O que torna o OrbitaConecta único</w:t>
      </w:r>
    </w:p>
    <w:p>
      <w:pPr>
        <w:spacing w:after="120" w:before="80"/>
        <w:jc w:val="both"/>
      </w:pPr>
      <w:r>
        <w:rPr>
          <w:rFonts w:ascii="Arial" w:cs="Arial" w:eastAsia="Arial" w:hAnsi="Arial"/>
          <w:color w:val="333333"/>
          <w:sz w:val="22"/>
          <w:szCs w:val="22"/>
        </w:rPr>
        <w:t xml:space="preserve">Não existe no Brasil — nem no mundo — uma plataforma pública que integre:</w:t>
      </w:r>
    </w:p>
    <w:p>
      <w:pPr>
        <w:pStyle w:val="ListParagraph"/>
        <w:numPr>
          <w:ilvl w:val="0"/>
          <w:numId w:val="3"/>
        </w:numPr>
        <w:spacing w:after="60" w:before="60"/>
      </w:pPr>
      <w:r>
        <w:rPr>
          <w:rFonts w:ascii="Arial" w:cs="Arial" w:eastAsia="Arial" w:hAnsi="Arial"/>
          <w:color w:val="333333"/>
          <w:sz w:val="22"/>
          <w:szCs w:val="22"/>
        </w:rPr>
        <w:t xml:space="preserve">Dados de imagens satelitais (uso do solo, NDVI, densidade habitacional remota).</w:t>
      </w:r>
    </w:p>
    <w:p>
      <w:pPr>
        <w:pStyle w:val="ListParagraph"/>
        <w:numPr>
          <w:ilvl w:val="0"/>
          <w:numId w:val="3"/>
        </w:numPr>
        <w:spacing w:after="60" w:before="60"/>
      </w:pPr>
      <w:r>
        <w:rPr>
          <w:rFonts w:ascii="Arial" w:cs="Arial" w:eastAsia="Arial" w:hAnsi="Arial"/>
          <w:color w:val="333333"/>
          <w:sz w:val="22"/>
          <w:szCs w:val="22"/>
        </w:rPr>
        <w:t xml:space="preserve">Dados socioeconômicos municipais (IDH, renda, população rural do IBGE).</w:t>
      </w:r>
    </w:p>
    <w:p>
      <w:pPr>
        <w:pStyle w:val="ListParagraph"/>
        <w:numPr>
          <w:ilvl w:val="0"/>
          <w:numId w:val="3"/>
        </w:numPr>
        <w:spacing w:after="60" w:before="60"/>
      </w:pPr>
      <w:r>
        <w:rPr>
          <w:rFonts w:ascii="Arial" w:cs="Arial" w:eastAsia="Arial" w:hAnsi="Arial"/>
          <w:color w:val="333333"/>
          <w:sz w:val="22"/>
          <w:szCs w:val="22"/>
        </w:rPr>
        <w:t xml:space="preserve">Dados de cobertura de telecomunicações (Anatel) em um único Índice de Vulnerabilidade Digital acionável.</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9.2 Comparação com Soluções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Solução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Limitação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OrbitaConecta supera em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Anatel Mapa de Cobertura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Só mostra cobertura, não vulnerabilidade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Adiciona camadas socioeconômicas e satelitais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Atlas Brasil (PNUD)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IDH estático, sem dados de conectividade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Integra conectividade e dados orbitais em tempo real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Starlink Coverage Map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Foca na oferta, não na demanda social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Prioriza onde a conexão gera mais impacto social</w:t>
            </w:r>
          </w:p>
        </w:tc>
      </w:tr>
    </w:tbl>
    <w:p>
      <w:r>
        <w:br w:type="page"/>
      </w:r>
    </w:p>
    <w:p>
      <w:pPr>
        <w:pStyle w:val="Heading1"/>
        <w:spacing w:after="160" w:before="320"/>
      </w:pPr>
      <w:r>
        <w:rPr>
          <w:rFonts w:ascii="Arial" w:cs="Arial" w:eastAsia="Arial" w:hAnsi="Arial"/>
          <w:b/>
          <w:bCs/>
          <w:color w:val="1E3A5F"/>
          <w:sz w:val="32"/>
          <w:szCs w:val="32"/>
        </w:rPr>
        <w:t xml:space="preserve">10. Aprendizados das Disciplinas</w:t>
      </w:r>
    </w:p>
    <w:p>
      <w:pPr>
        <w:pBdr>
          <w:bottom w:val="single" w:color="2980B9"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Critério 10</w:t>
            </w:r>
          </w:p>
          <w:p>
            <w:pPr>
              <w:jc w:val="center"/>
            </w:pPr>
            <w:r>
              <w:rPr>
                <w:rFonts w:ascii="Arial" w:cs="Arial" w:eastAsia="Arial" w:hAnsi="Arial"/>
                <w:color w:val="AACCEE"/>
                <w:sz w:val="16"/>
                <w:szCs w:val="16"/>
              </w:rPr>
              <w:t xml:space="preserve">(1,0 ponto)</w:t>
            </w:r>
          </w:p>
        </w:tc>
        <w:tc>
          <w:tcPr>
            <w:tcW w:type="dxa" w:w="8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20"/>
            </w:tcMar>
          </w:tcPr>
          <w:p>
            <w:r>
              <w:rPr>
                <w:rFonts w:ascii="Arial" w:cs="Arial" w:eastAsia="Arial" w:hAnsi="Arial"/>
                <w:b/>
                <w:bCs/>
                <w:color w:val="1E3A5F"/>
                <w:sz w:val="22"/>
                <w:szCs w:val="22"/>
              </w:rPr>
              <w:t xml:space="preserve">O projeto está condizente e aproveita aprendizados das disciplinas estudadas no ano?</w:t>
            </w:r>
          </w:p>
          <w:p>
            <w:pPr>
              <w:spacing w:before="60"/>
            </w:pPr>
            <w:r>
              <w:rPr>
                <w:rFonts w:ascii="Arial" w:cs="Arial" w:eastAsia="Arial" w:hAnsi="Arial"/>
                <w:color w:val="444444"/>
                <w:sz w:val="20"/>
                <w:szCs w:val="20"/>
              </w:rPr>
              <w:t xml:space="preserve">O projeto integra concretamente conteúdos de todas as disciplinas do curso de Análise de Dados: estatística, visualização, programação, machine learning e storytelling com dados.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Disciplina</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Conceito Aplicado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Onde Aparece no Projeto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Estatística Descritiva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Média, mediana, desvio padrão, quartis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Análise exploratória do IVD por município</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Visualização de Dados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Mapas corócletécos, gráficos de barras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Dashboard Streamlit + Plotly + Folium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Python para Análise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Pandas, GeoPandas, manipulação de dados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Pipeline de processamento de dados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Machine Learning</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Clustering K-Means, normalização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Segmentação de municípios por prioridade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Storytelling com Dados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Narrativa baseada em dados, pitch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Apresentação do projeto e roteiro do pitch</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Ciência de Dados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Pipeline end-to-end, ETL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22"/>
                <w:szCs w:val="22"/>
              </w:rPr>
              <w:t xml:space="preserve">Fluxo completo: coleta → processamento → modelo → viz</w:t>
            </w:r>
          </w:p>
        </w:tc>
      </w:tr>
    </w:tbl>
    <w:p>
      <w:pPr>
        <w:spacing w:after="60" w:before="60"/>
      </w:pPr>
      <w:r>
        <w:t xml:space="preserve"/>
      </w:r>
    </w:p>
    <w:p>
      <w:r>
        <w:br w:type="page"/>
      </w:r>
    </w:p>
    <w:p>
      <w:pPr>
        <w:pStyle w:val="Heading1"/>
        <w:spacing w:after="160" w:before="320"/>
      </w:pPr>
      <w:r>
        <w:rPr>
          <w:rFonts w:ascii="Arial" w:cs="Arial" w:eastAsia="Arial" w:hAnsi="Arial"/>
          <w:b/>
          <w:bCs/>
          <w:color w:val="1E3A5F"/>
          <w:sz w:val="32"/>
          <w:szCs w:val="32"/>
        </w:rPr>
        <w:t xml:space="preserve">11. Referências</w:t>
      </w:r>
    </w:p>
    <w:p>
      <w:pPr>
        <w:pBdr>
          <w:bottom w:val="single" w:color="2980B9" w:sz="4" w:space="1"/>
        </w:pBdr>
        <w:spacing w:after="200" w:before="200"/>
      </w:pPr>
      <w:r>
        <w:t xml:space="preserve"/>
      </w:r>
    </w:p>
    <w:p>
      <w:pPr>
        <w:pStyle w:val="ListParagraph"/>
        <w:numPr>
          <w:ilvl w:val="0"/>
          <w:numId w:val="2"/>
        </w:numPr>
        <w:spacing w:after="60" w:before="60"/>
      </w:pPr>
      <w:r>
        <w:rPr>
          <w:rFonts w:ascii="Arial" w:cs="Arial" w:eastAsia="Arial" w:hAnsi="Arial"/>
          <w:color w:val="333333"/>
          <w:sz w:val="22"/>
          <w:szCs w:val="22"/>
        </w:rPr>
        <w:t xml:space="preserve">IBGE. Censo Demográfico 2022. Disponível em: ibge.gov.br</w:t>
      </w:r>
    </w:p>
    <w:p>
      <w:pPr>
        <w:pStyle w:val="ListParagraph"/>
        <w:numPr>
          <w:ilvl w:val="0"/>
          <w:numId w:val="2"/>
        </w:numPr>
        <w:spacing w:after="60" w:before="60"/>
      </w:pPr>
      <w:r>
        <w:rPr>
          <w:rFonts w:ascii="Arial" w:cs="Arial" w:eastAsia="Arial" w:hAnsi="Arial"/>
          <w:color w:val="333333"/>
          <w:sz w:val="22"/>
          <w:szCs w:val="22"/>
        </w:rPr>
        <w:t xml:space="preserve">Anatel. Portal de Dados Abertos de Telecomunicações 2024. Disponível em: sistemas.anatel.gov.br</w:t>
      </w:r>
    </w:p>
    <w:p>
      <w:pPr>
        <w:pStyle w:val="ListParagraph"/>
        <w:numPr>
          <w:ilvl w:val="0"/>
          <w:numId w:val="2"/>
        </w:numPr>
        <w:spacing w:after="60" w:before="60"/>
      </w:pPr>
      <w:r>
        <w:rPr>
          <w:rFonts w:ascii="Arial" w:cs="Arial" w:eastAsia="Arial" w:hAnsi="Arial"/>
          <w:color w:val="333333"/>
          <w:sz w:val="22"/>
          <w:szCs w:val="22"/>
        </w:rPr>
        <w:t xml:space="preserve">ESA Copernicus. Sentinel-2 Mission Guide. Disponível em: sentinel.esa.int</w:t>
      </w:r>
    </w:p>
    <w:p>
      <w:pPr>
        <w:pStyle w:val="ListParagraph"/>
        <w:numPr>
          <w:ilvl w:val="0"/>
          <w:numId w:val="2"/>
        </w:numPr>
        <w:spacing w:after="60" w:before="60"/>
      </w:pPr>
      <w:r>
        <w:rPr>
          <w:rFonts w:ascii="Arial" w:cs="Arial" w:eastAsia="Arial" w:hAnsi="Arial"/>
          <w:color w:val="333333"/>
          <w:sz w:val="22"/>
          <w:szCs w:val="22"/>
        </w:rPr>
        <w:t xml:space="preserve">TIC Domicílios 2023. CETIC.br. Disponível em: cetic.br</w:t>
      </w:r>
    </w:p>
    <w:p>
      <w:pPr>
        <w:pStyle w:val="ListParagraph"/>
        <w:numPr>
          <w:ilvl w:val="0"/>
          <w:numId w:val="2"/>
        </w:numPr>
        <w:spacing w:after="60" w:before="60"/>
      </w:pPr>
      <w:r>
        <w:rPr>
          <w:rFonts w:ascii="Arial" w:cs="Arial" w:eastAsia="Arial" w:hAnsi="Arial"/>
          <w:color w:val="333333"/>
          <w:sz w:val="22"/>
          <w:szCs w:val="22"/>
        </w:rPr>
        <w:t xml:space="preserve">Atlas Brasil / PNUD. Índice de Desenvolvimento Humano Municipal. Disponível em: atlasbrasil.org.br</w:t>
      </w:r>
    </w:p>
    <w:p>
      <w:pPr>
        <w:pStyle w:val="ListParagraph"/>
        <w:numPr>
          <w:ilvl w:val="0"/>
          <w:numId w:val="2"/>
        </w:numPr>
        <w:spacing w:after="60" w:before="60"/>
      </w:pPr>
      <w:r>
        <w:rPr>
          <w:rFonts w:ascii="Arial" w:cs="Arial" w:eastAsia="Arial" w:hAnsi="Arial"/>
          <w:color w:val="333333"/>
          <w:sz w:val="22"/>
          <w:szCs w:val="22"/>
        </w:rPr>
        <w:t xml:space="preserve">Google Earth Engine. Developer Documentation. Disponível em: developers.google.com/earth-engine</w:t>
      </w:r>
    </w:p>
    <w:p>
      <w:pPr>
        <w:pStyle w:val="ListParagraph"/>
        <w:numPr>
          <w:ilvl w:val="0"/>
          <w:numId w:val="2"/>
        </w:numPr>
        <w:spacing w:after="60" w:before="60"/>
      </w:pPr>
      <w:r>
        <w:rPr>
          <w:rFonts w:ascii="Arial" w:cs="Arial" w:eastAsia="Arial" w:hAnsi="Arial"/>
          <w:color w:val="333333"/>
          <w:sz w:val="22"/>
          <w:szCs w:val="22"/>
        </w:rPr>
        <w:t xml:space="preserve">Ministério das Comunicações. Programa Conect, FUST 2024. Disponível em: gov.br/mcom</w:t>
      </w:r>
    </w:p>
    <w:p>
      <w:pPr>
        <w:pStyle w:val="ListParagraph"/>
        <w:numPr>
          <w:ilvl w:val="0"/>
          <w:numId w:val="2"/>
        </w:numPr>
        <w:spacing w:after="60" w:before="60"/>
      </w:pPr>
      <w:r>
        <w:rPr>
          <w:rFonts w:ascii="Arial" w:cs="Arial" w:eastAsia="Arial" w:hAnsi="Arial"/>
          <w:color w:val="333333"/>
          <w:sz w:val="22"/>
          <w:szCs w:val="22"/>
        </w:rPr>
        <w:t xml:space="preserve">Scikit-learn. K-Means Clustering Documentation. Disponível em: scikit-learn.org</w:t>
      </w:r>
    </w:p>
    <w:p>
      <w:pPr>
        <w:spacing w:after="60" w:before="60"/>
      </w:pPr>
      <w:r>
        <w:t xml:space="preserve"/>
      </w:r>
    </w:p>
    <w:p>
      <w:pPr>
        <w:spacing w:after="60" w:before="60"/>
      </w:pPr>
      <w:r>
        <w:t xml:space="preserve"/>
      </w:r>
    </w:p>
    <w:p>
      <w:pPr>
        <w:spacing w:before="400"/>
        <w:jc w:val="center"/>
      </w:pPr>
      <w:r>
        <w:rPr>
          <w:rFonts w:ascii="Arial" w:cs="Arial" w:eastAsia="Arial" w:hAnsi="Arial"/>
          <w:i/>
          <w:iCs/>
          <w:color w:val="AAAAAA"/>
          <w:sz w:val="18"/>
          <w:szCs w:val="18"/>
        </w:rPr>
        <w:t xml:space="preserve">Documento gerado para fins acadêmicos — Global Solution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2026-05-28T13:40:42.528Z</dcterms:created>
  <dcterms:modified xsi:type="dcterms:W3CDTF">2026-05-28T13:40:42.528Z</dcterms:modified>
</cp:coreProperties>
</file>

<file path=docProps/custom.xml><?xml version="1.0" encoding="utf-8"?>
<Properties xmlns="http://schemas.openxmlformats.org/officeDocument/2006/custom-properties" xmlns:vt="http://schemas.openxmlformats.org/officeDocument/2006/docPropsVTypes"/>
</file>