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52"/>
          <w:szCs w:val="52"/>
        </w:rPr>
        <w:t xml:space="preserve">ORION AIOps</w:t>
      </w:r>
    </w:p>
    <w:p>
      <w:pPr>
        <w:spacing w:after="40"/>
        <w:jc w:val="center"/>
      </w:pPr>
      <w:r>
        <w:rPr>
          <w:i/>
          <w:iCs/>
          <w:color w:val="666666"/>
          <w:sz w:val="26"/>
          <w:szCs w:val="26"/>
        </w:rPr>
        <w:t xml:space="preserve">Da base bruta ao plano de ação: uma jornada de dados a decisão</w:t>
      </w:r>
    </w:p>
    <w:p>
      <w:pPr>
        <w:spacing w:after="400"/>
        <w:jc w:val="center"/>
      </w:pPr>
      <w:r>
        <w:rPr>
          <w:color w:val="666666"/>
          <w:sz w:val="20"/>
          <w:szCs w:val="20"/>
        </w:rPr>
        <w:t xml:space="preserve">Enterprise Challenge 2026 · FIAP × Locaweb · Turma 2TSCP</w:t>
      </w:r>
    </w:p>
    <w:p>
      <w:pPr>
        <w:spacing w:after="100"/>
        <w:ind w:left="700" w:right="700"/>
        <w:jc w:val="center"/>
      </w:pPr>
      <w:r>
        <w:rPr>
          <w:i/>
          <w:iCs/>
          <w:color w:val="1F3B57"/>
          <w:sz w:val="22"/>
          <w:szCs w:val="22"/>
        </w:rPr>
        <w:t xml:space="preserve">Em 2025, a prioridade P2 fechou o indicador de OLA em 75% de atingimento contratual. Foram 42 violações no ano — a faixa de 100% termina em 39. Três incidentes separaram o resultado real do resultado pleno. Nenhum dashboard de taxa média teria mostrado isso.</w:t>
      </w:r>
    </w:p>
    <w:p>
      <w:pPr>
        <w:spacing w:after="500"/>
        <w:ind w:left="700" w:right="700"/>
        <w:jc w:val="center"/>
      </w:pPr>
      <w:r>
        <w:rPr>
          <w:b/>
          <w:bCs/>
          <w:i/>
          <w:iCs/>
          <w:color w:val="C0392B"/>
          <w:sz w:val="22"/>
          <w:szCs w:val="22"/>
        </w:rPr>
        <w:t xml:space="preserve">O ORION AIOps existe para que esses três incidentes sejam identificados antes de acontecerem.</w:t>
      </w:r>
    </w:p>
    <w:p>
      <w:pPr>
        <w:pBdr>
          <w:bottom w:val="single" w:color="CCCCCC" w:sz="6" w:space="1"/>
        </w:pBdr>
        <w:spacing w:after="300" w:before="100"/>
      </w:pPr>
      <w:r>
        <w:t xml:space="preserve"/>
      </w:r>
    </w:p>
    <w:p>
      <w:pPr>
        <w:pStyle w:val="Heading1"/>
        <w:pBdr>
          <w:bottom w:val="single" w:color="1F3B57" w:sz="6" w:space="4"/>
        </w:pBdr>
        <w:spacing w:after="200" w:before="480"/>
      </w:pPr>
      <w:r>
        <w:rPr>
          <w:b/>
          <w:bCs/>
          <w:color w:val="1F3B57"/>
          <w:sz w:val="30"/>
          <w:szCs w:val="30"/>
        </w:rPr>
        <w:t xml:space="preserve">1. Objetivo Geral</w:t>
      </w:r>
    </w:p>
    <w:p>
      <w:pPr>
        <w:spacing w:after="200" w:line="300"/>
        <w:jc w:val="both"/>
      </w:pPr>
      <w:r>
        <w:rPr>
          <w:sz w:val="22"/>
          <w:szCs w:val="22"/>
        </w:rPr>
        <w:t xml:space="preserve">A Locaweb opera uma central de suporte que processa cerca de </w:t>
      </w:r>
      <w:r>
        <w:rPr>
          <w:b/>
          <w:bCs/>
          <w:sz w:val="22"/>
          <w:szCs w:val="22"/>
        </w:rPr>
        <w:t xml:space="preserve">122 mil incidentes por ano</w:t>
      </w:r>
      <w:r>
        <w:rPr>
          <w:sz w:val="22"/>
          <w:szCs w:val="22"/>
        </w:rPr>
        <w:t xml:space="preserve">, vinte e quatro horas por dia, sete dias por semana. Por trás desse volume existe um contrato: metas de disponibilidade e de tempo de resposta que definem, em faixas discretas de atingimento, o quanto a operação realmente entrega. O caso descrito na abertura deste documento — três incidentes decidindo a diferença entre 75% e 100% de atingimento contratual — é o ponto de partida do projeto. Ele evidencia que, nesta operação, o resultado do ano frequentemente não se decide por uma reforma drástica de processo, mas pela capacidade de enxergar a tempo os poucos eventos que pesam mais na conta final.</w:t>
      </w:r>
    </w:p>
    <w:p>
      <w:pPr>
        <w:spacing w:after="200" w:line="300"/>
        <w:jc w:val="both"/>
      </w:pPr>
      <w:r>
        <w:rPr>
          <w:sz w:val="22"/>
          <w:szCs w:val="22"/>
        </w:rPr>
        <w:t xml:space="preserve">O ORION AIOps nasce para responder, com antecedência, três perguntas que hoje a operação só consegue responder depois do fato consumado: </w:t>
      </w:r>
      <w:r>
        <w:rPr>
          <w:i/>
          <w:iCs/>
          <w:sz w:val="22"/>
          <w:szCs w:val="22"/>
        </w:rPr>
        <w:t xml:space="preserve">quantos incidentes chegam amanhã e na próxima semana</w:t>
      </w:r>
      <w:r>
        <w:rPr>
          <w:sz w:val="22"/>
          <w:szCs w:val="22"/>
        </w:rPr>
        <w:t xml:space="preserve">; </w:t>
      </w:r>
      <w:r>
        <w:rPr>
          <w:i/>
          <w:iCs/>
          <w:sz w:val="22"/>
          <w:szCs w:val="22"/>
        </w:rPr>
        <w:t xml:space="preserve">quais chamados abertos agora correm risco real de estourar o prazo contratual</w:t>
      </w:r>
      <w:r>
        <w:rPr>
          <w:sz w:val="22"/>
          <w:szCs w:val="22"/>
        </w:rPr>
        <w:t xml:space="preserve">; e </w:t>
      </w:r>
      <w:r>
        <w:rPr>
          <w:i/>
          <w:iCs/>
          <w:sz w:val="22"/>
          <w:szCs w:val="22"/>
        </w:rPr>
        <w:t xml:space="preserve">em que ponto do ano a operação está em relação às metas</w:t>
      </w:r>
      <w:r>
        <w:rPr>
          <w:sz w:val="22"/>
          <w:szCs w:val="22"/>
        </w:rPr>
        <w:t xml:space="preserve">, antes que seja tarde para corrigir a rota. O valor de negócio é direto e mensurável: dimensionar a equipe pela previsão em vez da média histórica, priorizar a fila de atendimento pelo risco em vez da ordem de chegada, e transformar um indicador reativo — que hoje só é lido no fechamento do ano — num painel de controle vivo, atualizado a cada ciclo de execução.</w:t>
      </w:r>
    </w:p>
    <w:p>
      <w:pPr>
        <w:spacing w:after="200" w:line="300"/>
        <w:jc w:val="both"/>
      </w:pPr>
      <w:r>
        <w:rPr>
          <w:sz w:val="22"/>
          <w:szCs w:val="22"/>
        </w:rPr>
        <w:t xml:space="preserve">O projeto vai além da entrega de dois modelos preditivos isolados. Ele propõe uma camada de </w:t>
      </w:r>
      <w:r>
        <w:rPr>
          <w:b/>
          <w:bCs/>
          <w:sz w:val="22"/>
          <w:szCs w:val="22"/>
        </w:rPr>
        <w:t xml:space="preserve">cinco agentes autônomos</w:t>
      </w:r>
      <w:r>
        <w:rPr>
          <w:sz w:val="22"/>
          <w:szCs w:val="22"/>
        </w:rPr>
        <w:t xml:space="preserve"> que traduzem previsão em decisão executável — o tipo de saída que chega pronta ao Teams ou ao e-mail do gestor, e não uma tabela de números que ainda precisa ser interpretada por um analista antes de virar ação. É essa combinação — rigor estatístico validado por backtest e tradução direta para linguagem de negócio — que dá ao ORION valor simultâneo para uma banca acadêmica, interessada no método, e para um comitê de operações, interessado no resultado.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3700"/>
      </w:tblGrid>
      <w:tr>
        <w:trPr>
          <w:tblHeader/>
        </w:trPr>
        <w:tc>
          <w:tcPr>
            <w:tcW w:type="dxa" w:w="3200"/>
            <w:shd w:fill="1F3B57" w:val="clear"/>
            <w:tcMar>
              <w:top w:type="dxa" w:w="100"/>
              <w:left w:type="dxa" w:w="120"/>
              <w:bottom w:type="dxa" w:w="100"/>
              <w:right w:type="dxa" w:w="120"/>
            </w:tcMar>
          </w:tcPr>
          <w:p>
            <w:pPr>
              <w:jc w:val="left"/>
            </w:pPr>
            <w:r>
              <w:rPr>
                <w:b/>
                <w:bCs/>
                <w:color w:val="FFFFFF"/>
                <w:sz w:val="20"/>
                <w:szCs w:val="20"/>
              </w:rPr>
              <w:t xml:space="preserve">Frente preditiva</w:t>
            </w:r>
          </w:p>
        </w:tc>
        <w:tc>
          <w:tcPr>
            <w:tcW w:type="dxa" w:w="3700"/>
            <w:shd w:fill="1F3B57" w:val="clear"/>
            <w:tcMar>
              <w:top w:type="dxa" w:w="100"/>
              <w:left w:type="dxa" w:w="120"/>
              <w:bottom w:type="dxa" w:w="100"/>
              <w:right w:type="dxa" w:w="120"/>
            </w:tcMar>
          </w:tcPr>
          <w:p>
            <w:pPr>
              <w:jc w:val="left"/>
            </w:pPr>
            <w:r>
              <w:rPr>
                <w:b/>
                <w:bCs/>
                <w:color w:val="FFFFFF"/>
                <w:sz w:val="20"/>
                <w:szCs w:val="20"/>
              </w:rPr>
              <w:t xml:space="preserve">Resultado obtido</w:t>
            </w:r>
          </w:p>
        </w:tc>
        <w:tc>
          <w:tcPr>
            <w:tcW w:type="dxa" w:w="3700"/>
            <w:shd w:fill="1F3B57" w:val="clear"/>
            <w:tcMar>
              <w:top w:type="dxa" w:w="100"/>
              <w:left w:type="dxa" w:w="120"/>
              <w:bottom w:type="dxa" w:w="100"/>
              <w:right w:type="dxa" w:w="120"/>
            </w:tcMar>
          </w:tcPr>
          <w:p>
            <w:pPr>
              <w:jc w:val="left"/>
            </w:pPr>
            <w:r>
              <w:rPr>
                <w:b/>
                <w:bCs/>
                <w:color w:val="FFFFFF"/>
                <w:sz w:val="20"/>
                <w:szCs w:val="20"/>
              </w:rPr>
              <w:t xml:space="preserve">Leitura de negócio</w:t>
            </w:r>
          </w:p>
        </w:tc>
      </w:tr>
      <w:tr>
        <w:tc>
          <w:tcPr>
            <w:tcW w:type="dxa" w:w="3200"/>
            <w:shd w:fill="F2F6F9" w:val="clear"/>
            <w:tcMar>
              <w:top w:type="dxa" w:w="100"/>
              <w:left w:type="dxa" w:w="120"/>
              <w:bottom w:type="dxa" w:w="100"/>
              <w:right w:type="dxa" w:w="120"/>
            </w:tcMar>
          </w:tcPr>
          <w:p>
            <w:pPr>
              <w:jc w:val="left"/>
            </w:pPr>
            <w:r>
              <w:rPr>
                <w:b w:val="false"/>
                <w:bCs w:val="false"/>
                <w:color w:val="1A1A1A"/>
                <w:sz w:val="20"/>
                <w:szCs w:val="20"/>
              </w:rPr>
              <w:t xml:space="preserve">Volume D+1 / D+7</w:t>
            </w:r>
          </w:p>
        </w:tc>
        <w:tc>
          <w:tcPr>
            <w:tcW w:type="dxa" w:w="3700"/>
            <w:shd w:fill="F2F6F9" w:val="clear"/>
            <w:tcMar>
              <w:top w:type="dxa" w:w="100"/>
              <w:left w:type="dxa" w:w="120"/>
              <w:bottom w:type="dxa" w:w="100"/>
              <w:right w:type="dxa" w:w="120"/>
            </w:tcMar>
          </w:tcPr>
          <w:p>
            <w:pPr>
              <w:jc w:val="left"/>
            </w:pPr>
            <w:r>
              <w:rPr>
                <w:b w:val="false"/>
                <w:bCs w:val="false"/>
                <w:color w:val="1A1A1A"/>
                <w:sz w:val="20"/>
                <w:szCs w:val="20"/>
              </w:rPr>
              <w:t xml:space="preserve">Supera os três baselines ingênuos nas 4 combinações testadas (ganho de 11,8% a 43,9% de MAE)</w:t>
            </w:r>
          </w:p>
        </w:tc>
        <w:tc>
          <w:tcPr>
            <w:tcW w:type="dxa" w:w="3700"/>
            <w:shd w:fill="F2F6F9" w:val="clear"/>
            <w:tcMar>
              <w:top w:type="dxa" w:w="100"/>
              <w:left w:type="dxa" w:w="120"/>
              <w:bottom w:type="dxa" w:w="100"/>
              <w:right w:type="dxa" w:w="120"/>
            </w:tcMar>
          </w:tcPr>
          <w:p>
            <w:pPr>
              <w:jc w:val="left"/>
            </w:pPr>
            <w:r>
              <w:rPr>
                <w:b w:val="false"/>
                <w:bCs w:val="false"/>
                <w:color w:val="1A1A1A"/>
                <w:sz w:val="20"/>
                <w:szCs w:val="20"/>
              </w:rPr>
              <w:t xml:space="preserve">Escala planejada por previsão, não por média — picos deixam de pegar a operação de surpresa</w:t>
            </w:r>
          </w:p>
        </w:tc>
      </w:tr>
      <w:tr>
        <w:tc>
          <w:tcPr>
            <w:tcW w:type="dxa" w:w="3200"/>
            <w:shd w:fill="FFFFFF" w:val="clear"/>
            <w:tcMar>
              <w:top w:type="dxa" w:w="100"/>
              <w:left w:type="dxa" w:w="120"/>
              <w:bottom w:type="dxa" w:w="100"/>
              <w:right w:type="dxa" w:w="120"/>
            </w:tcMar>
          </w:tcPr>
          <w:p>
            <w:pPr>
              <w:jc w:val="left"/>
            </w:pPr>
            <w:r>
              <w:rPr>
                <w:b w:val="false"/>
                <w:bCs w:val="false"/>
                <w:color w:val="1A1A1A"/>
                <w:sz w:val="20"/>
                <w:szCs w:val="20"/>
              </w:rPr>
              <w:t xml:space="preserve">Risco de violação de OLA</w:t>
            </w:r>
          </w:p>
        </w:tc>
        <w:tc>
          <w:tcPr>
            <w:tcW w:type="dxa" w:w="3700"/>
            <w:shd w:fill="FFFFFF" w:val="clear"/>
            <w:tcMar>
              <w:top w:type="dxa" w:w="100"/>
              <w:left w:type="dxa" w:w="120"/>
              <w:bottom w:type="dxa" w:w="100"/>
              <w:right w:type="dxa" w:w="120"/>
            </w:tcMar>
          </w:tcPr>
          <w:p>
            <w:pPr>
              <w:jc w:val="left"/>
            </w:pPr>
            <w:r>
              <w:rPr>
                <w:b w:val="false"/>
                <w:bCs w:val="false"/>
                <w:color w:val="1A1A1A"/>
                <w:sz w:val="20"/>
                <w:szCs w:val="20"/>
              </w:rPr>
              <w:t xml:space="preserve">PR-AUC 0,188 sobre prevalência de 0,96% — lift de 19,5x sobre o acaso</w:t>
            </w:r>
          </w:p>
        </w:tc>
        <w:tc>
          <w:tcPr>
            <w:tcW w:type="dxa" w:w="3700"/>
            <w:shd w:fill="FFFFFF" w:val="clear"/>
            <w:tcMar>
              <w:top w:type="dxa" w:w="100"/>
              <w:left w:type="dxa" w:w="120"/>
              <w:bottom w:type="dxa" w:w="100"/>
              <w:right w:type="dxa" w:w="120"/>
            </w:tcMar>
          </w:tcPr>
          <w:p>
            <w:pPr>
              <w:jc w:val="left"/>
            </w:pPr>
            <w:r>
              <w:rPr>
                <w:b w:val="false"/>
                <w:bCs w:val="false"/>
                <w:color w:val="1A1A1A"/>
                <w:sz w:val="20"/>
                <w:szCs w:val="20"/>
              </w:rPr>
              <w:t xml:space="preserve">Revisando os 6 chamados mais arriscados do dia, o sistema captura 52% das violações</w:t>
            </w:r>
          </w:p>
        </w:tc>
      </w:tr>
      <w:tr>
        <w:tc>
          <w:tcPr>
            <w:tcW w:type="dxa" w:w="3200"/>
            <w:shd w:fill="F2F6F9" w:val="clear"/>
            <w:tcMar>
              <w:top w:type="dxa" w:w="100"/>
              <w:left w:type="dxa" w:w="120"/>
              <w:bottom w:type="dxa" w:w="100"/>
              <w:right w:type="dxa" w:w="120"/>
            </w:tcMar>
          </w:tcPr>
          <w:p>
            <w:pPr>
              <w:jc w:val="left"/>
            </w:pPr>
            <w:r>
              <w:rPr>
                <w:b w:val="false"/>
                <w:bCs w:val="false"/>
                <w:color w:val="1A1A1A"/>
                <w:sz w:val="20"/>
                <w:szCs w:val="20"/>
              </w:rPr>
              <w:t xml:space="preserve">Camada de agentes</w:t>
            </w:r>
          </w:p>
        </w:tc>
        <w:tc>
          <w:tcPr>
            <w:tcW w:type="dxa" w:w="3700"/>
            <w:shd w:fill="F2F6F9" w:val="clear"/>
            <w:tcMar>
              <w:top w:type="dxa" w:w="100"/>
              <w:left w:type="dxa" w:w="120"/>
              <w:bottom w:type="dxa" w:w="100"/>
              <w:right w:type="dxa" w:w="120"/>
            </w:tcMar>
          </w:tcPr>
          <w:p>
            <w:pPr>
              <w:jc w:val="left"/>
            </w:pPr>
            <w:r>
              <w:rPr>
                <w:b w:val="false"/>
                <w:bCs w:val="false"/>
                <w:color w:val="1A1A1A"/>
                <w:sz w:val="20"/>
                <w:szCs w:val="20"/>
              </w:rPr>
              <w:t xml:space="preserve">17 sinais por ciclo, 4 classificados como ação imediata</w:t>
            </w:r>
          </w:p>
        </w:tc>
        <w:tc>
          <w:tcPr>
            <w:tcW w:type="dxa" w:w="3700"/>
            <w:shd w:fill="F2F6F9" w:val="clear"/>
            <w:tcMar>
              <w:top w:type="dxa" w:w="100"/>
              <w:left w:type="dxa" w:w="120"/>
              <w:bottom w:type="dxa" w:w="100"/>
              <w:right w:type="dxa" w:w="120"/>
            </w:tcMar>
          </w:tcPr>
          <w:p>
            <w:pPr>
              <w:jc w:val="left"/>
            </w:pPr>
            <w:r>
              <w:rPr>
                <w:b w:val="false"/>
                <w:bCs w:val="false"/>
                <w:color w:val="1A1A1A"/>
                <w:sz w:val="20"/>
                <w:szCs w:val="20"/>
              </w:rPr>
              <w:t xml:space="preserve">Plano de ação pronto para o gestor, sem etapa manual de interpretação</w:t>
            </w:r>
          </w:p>
        </w:tc>
      </w:tr>
    </w:tbl>
    <w:p>
      <w:pPr>
        <w:pStyle w:val="Heading1"/>
        <w:pBdr>
          <w:bottom w:val="single" w:color="1F3B57" w:sz="6" w:space="4"/>
        </w:pBdr>
        <w:spacing w:after="200" w:before="480"/>
      </w:pPr>
      <w:r>
        <w:rPr>
          <w:b/>
          <w:bCs/>
          <w:color w:val="1F3B57"/>
          <w:sz w:val="30"/>
          <w:szCs w:val="30"/>
        </w:rPr>
        <w:t xml:space="preserve">2. Arquitetura e Notebooks</w:t>
      </w:r>
    </w:p>
    <w:p>
      <w:pPr>
        <w:spacing w:after="200" w:line="300"/>
        <w:jc w:val="both"/>
      </w:pPr>
      <w:r>
        <w:rPr>
          <w:sz w:val="22"/>
          <w:szCs w:val="22"/>
        </w:rPr>
        <w:t xml:space="preserve">A solução é organizada como um </w:t>
      </w:r>
      <w:r>
        <w:rPr>
          <w:b/>
          <w:bCs/>
          <w:sz w:val="22"/>
          <w:szCs w:val="22"/>
        </w:rPr>
        <w:t xml:space="preserve">lakehouse em três camadas</w:t>
      </w:r>
      <w:r>
        <w:rPr>
          <w:sz w:val="22"/>
          <w:szCs w:val="22"/>
        </w:rPr>
        <w:t xml:space="preserve"> — Bronze, Silver e Gold — seguido por duas frentes de consumo: modelos de aprendizado de máquina e uma camada de agentes autônomos que alimenta Power BI, Teams e uma API própria. A escolha por camadas em vez de um script único que lê a planilha e produz o painel diretamente não é uma preferência estética: sem pontos de inspeção intermediários, quando um número do BI parece errado não há como saber se o erro nasceu na origem, na limpeza ou no cálculo. Com três camadas, cada uma tem um contrato de dados explícito, e a camada Silver funciona como fonte única de verdade — os modelos e o painel de BI leem exatamente a mesma definição de "violação de OLA", eliminando o risco clássico de dois sistemas calcularem a mesma métrica de formas ligeiramente diferentes.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900"/>
      </w:tblGrid>
      <w:tr>
        <w:trPr>
          <w:tblHeader/>
        </w:trPr>
        <w:tc>
          <w:tcPr>
            <w:tcW w:type="dxa" w:w="1700"/>
            <w:shd w:fill="1F3B57" w:val="clear"/>
            <w:tcMar>
              <w:top w:type="dxa" w:w="100"/>
              <w:left w:type="dxa" w:w="120"/>
              <w:bottom w:type="dxa" w:w="100"/>
              <w:right w:type="dxa" w:w="120"/>
            </w:tcMar>
          </w:tcPr>
          <w:p>
            <w:pPr>
              <w:jc w:val="left"/>
            </w:pPr>
            <w:r>
              <w:rPr>
                <w:b/>
                <w:bCs/>
                <w:color w:val="FFFFFF"/>
                <w:sz w:val="20"/>
                <w:szCs w:val="20"/>
              </w:rPr>
              <w:t xml:space="preserve">Camada</w:t>
            </w:r>
          </w:p>
        </w:tc>
        <w:tc>
          <w:tcPr>
            <w:tcW w:type="dxa" w:w="4100"/>
            <w:shd w:fill="1F3B57" w:val="clear"/>
            <w:tcMar>
              <w:top w:type="dxa" w:w="100"/>
              <w:left w:type="dxa" w:w="120"/>
              <w:bottom w:type="dxa" w:w="100"/>
              <w:right w:type="dxa" w:w="120"/>
            </w:tcMar>
          </w:tcPr>
          <w:p>
            <w:pPr>
              <w:jc w:val="left"/>
            </w:pPr>
            <w:r>
              <w:rPr>
                <w:b/>
                <w:bCs/>
                <w:color w:val="FFFFFF"/>
                <w:sz w:val="20"/>
                <w:szCs w:val="20"/>
              </w:rPr>
              <w:t xml:space="preserve">Conteúdo</w:t>
            </w:r>
          </w:p>
        </w:tc>
        <w:tc>
          <w:tcPr>
            <w:tcW w:type="dxa" w:w="3900"/>
            <w:shd w:fill="1F3B57" w:val="clear"/>
            <w:tcMar>
              <w:top w:type="dxa" w:w="100"/>
              <w:left w:type="dxa" w:w="120"/>
              <w:bottom w:type="dxa" w:w="100"/>
              <w:right w:type="dxa" w:w="120"/>
            </w:tcMar>
          </w:tcPr>
          <w:p>
            <w:pPr>
              <w:jc w:val="left"/>
            </w:pPr>
            <w:r>
              <w:rPr>
                <w:b/>
                <w:bCs/>
                <w:color w:val="FFFFFF"/>
                <w:sz w:val="20"/>
                <w:szCs w:val="20"/>
              </w:rPr>
              <w:t xml:space="preserve">Papel na solução</w:t>
            </w:r>
          </w:p>
        </w:tc>
      </w:tr>
      <w:tr>
        <w:tc>
          <w:tcPr>
            <w:tcW w:type="dxa" w:w="1700"/>
            <w:shd w:fill="F2F6F9" w:val="clear"/>
            <w:tcMar>
              <w:top w:type="dxa" w:w="100"/>
              <w:left w:type="dxa" w:w="120"/>
              <w:bottom w:type="dxa" w:w="100"/>
              <w:right w:type="dxa" w:w="120"/>
            </w:tcMar>
          </w:tcPr>
          <w:p>
            <w:pPr>
              <w:jc w:val="left"/>
            </w:pPr>
            <w:r>
              <w:rPr>
                <w:b w:val="false"/>
                <w:bCs w:val="false"/>
                <w:color w:val="1A1A1A"/>
                <w:sz w:val="20"/>
                <w:szCs w:val="20"/>
              </w:rPr>
              <w:t xml:space="preserve">Bronze</w:t>
            </w:r>
          </w:p>
        </w:tc>
        <w:tc>
          <w:tcPr>
            <w:tcW w:type="dxa" w:w="4100"/>
            <w:shd w:fill="F2F6F9" w:val="clear"/>
            <w:tcMar>
              <w:top w:type="dxa" w:w="100"/>
              <w:left w:type="dxa" w:w="120"/>
              <w:bottom w:type="dxa" w:w="100"/>
              <w:right w:type="dxa" w:w="120"/>
            </w:tcMar>
          </w:tcPr>
          <w:p>
            <w:pPr>
              <w:jc w:val="left"/>
            </w:pPr>
            <w:r>
              <w:rPr>
                <w:b w:val="false"/>
                <w:bCs w:val="false"/>
                <w:color w:val="1A1A1A"/>
                <w:sz w:val="20"/>
                <w:szCs w:val="20"/>
              </w:rPr>
              <w:t xml:space="preserve">Cópia fiel do XLSX em Parquet, com hash de origem e timestamp de ingestão</w:t>
            </w:r>
          </w:p>
        </w:tc>
        <w:tc>
          <w:tcPr>
            <w:tcW w:type="dxa" w:w="3900"/>
            <w:shd w:fill="F2F6F9" w:val="clear"/>
            <w:tcMar>
              <w:top w:type="dxa" w:w="100"/>
              <w:left w:type="dxa" w:w="120"/>
              <w:bottom w:type="dxa" w:w="100"/>
              <w:right w:type="dxa" w:w="120"/>
            </w:tcMar>
          </w:tcPr>
          <w:p>
            <w:pPr>
              <w:jc w:val="left"/>
            </w:pPr>
            <w:r>
              <w:rPr>
                <w:b w:val="false"/>
                <w:bCs w:val="false"/>
                <w:color w:val="1A1A1A"/>
                <w:sz w:val="20"/>
                <w:szCs w:val="20"/>
              </w:rPr>
              <w:t xml:space="preserve">Nada é corrigido aqui — é o ponto de auditoria contra o dado original</w:t>
            </w:r>
          </w:p>
        </w:tc>
      </w:tr>
      <w:tr>
        <w:tc>
          <w:tcPr>
            <w:tcW w:type="dxa" w:w="1700"/>
            <w:shd w:fill="FFFFFF" w:val="clear"/>
            <w:tcMar>
              <w:top w:type="dxa" w:w="100"/>
              <w:left w:type="dxa" w:w="120"/>
              <w:bottom w:type="dxa" w:w="100"/>
              <w:right w:type="dxa" w:w="120"/>
            </w:tcMar>
          </w:tcPr>
          <w:p>
            <w:pPr>
              <w:jc w:val="left"/>
            </w:pPr>
            <w:r>
              <w:rPr>
                <w:b w:val="false"/>
                <w:bCs w:val="false"/>
                <w:color w:val="1A1A1A"/>
                <w:sz w:val="20"/>
                <w:szCs w:val="20"/>
              </w:rPr>
              <w:t xml:space="preserve">Silver</w:t>
            </w:r>
          </w:p>
        </w:tc>
        <w:tc>
          <w:tcPr>
            <w:tcW w:type="dxa" w:w="4100"/>
            <w:shd w:fill="FFFFFF" w:val="clear"/>
            <w:tcMar>
              <w:top w:type="dxa" w:w="100"/>
              <w:left w:type="dxa" w:w="120"/>
              <w:bottom w:type="dxa" w:w="100"/>
              <w:right w:type="dxa" w:w="120"/>
            </w:tcMar>
          </w:tcPr>
          <w:p>
            <w:pPr>
              <w:jc w:val="left"/>
            </w:pPr>
            <w:r>
              <w:rPr>
                <w:b w:val="false"/>
                <w:bCs w:val="false"/>
                <w:color w:val="1A1A1A"/>
                <w:sz w:val="20"/>
                <w:szCs w:val="20"/>
              </w:rPr>
              <w:t xml:space="preserve">Uma linha por incidente, tipada, com flags de qualidade e regras de KPI recalculadas</w:t>
            </w:r>
          </w:p>
        </w:tc>
        <w:tc>
          <w:tcPr>
            <w:tcW w:type="dxa" w:w="3900"/>
            <w:shd w:fill="FFFFFF" w:val="clear"/>
            <w:tcMar>
              <w:top w:type="dxa" w:w="100"/>
              <w:left w:type="dxa" w:w="120"/>
              <w:bottom w:type="dxa" w:w="100"/>
              <w:right w:type="dxa" w:w="120"/>
            </w:tcMar>
          </w:tcPr>
          <w:p>
            <w:pPr>
              <w:jc w:val="left"/>
            </w:pPr>
            <w:r>
              <w:rPr>
                <w:b w:val="false"/>
                <w:bCs w:val="false"/>
                <w:color w:val="1A1A1A"/>
                <w:sz w:val="20"/>
                <w:szCs w:val="20"/>
              </w:rPr>
              <w:t xml:space="preserve">Fonte única de verdade consumida por modelos e BI</w:t>
            </w:r>
          </w:p>
        </w:tc>
      </w:tr>
      <w:tr>
        <w:tc>
          <w:tcPr>
            <w:tcW w:type="dxa" w:w="1700"/>
            <w:shd w:fill="F2F6F9" w:val="clear"/>
            <w:tcMar>
              <w:top w:type="dxa" w:w="100"/>
              <w:left w:type="dxa" w:w="120"/>
              <w:bottom w:type="dxa" w:w="100"/>
              <w:right w:type="dxa" w:w="120"/>
            </w:tcMar>
          </w:tcPr>
          <w:p>
            <w:pPr>
              <w:jc w:val="left"/>
            </w:pPr>
            <w:r>
              <w:rPr>
                <w:b w:val="false"/>
                <w:bCs w:val="false"/>
                <w:color w:val="1A1A1A"/>
                <w:sz w:val="20"/>
                <w:szCs w:val="20"/>
              </w:rPr>
              <w:t xml:space="preserve">Gold</w:t>
            </w:r>
          </w:p>
        </w:tc>
        <w:tc>
          <w:tcPr>
            <w:tcW w:type="dxa" w:w="4100"/>
            <w:shd w:fill="F2F6F9" w:val="clear"/>
            <w:tcMar>
              <w:top w:type="dxa" w:w="100"/>
              <w:left w:type="dxa" w:w="120"/>
              <w:bottom w:type="dxa" w:w="100"/>
              <w:right w:type="dxa" w:w="120"/>
            </w:tcMar>
          </w:tcPr>
          <w:p>
            <w:pPr>
              <w:jc w:val="left"/>
            </w:pPr>
            <w:r>
              <w:rPr>
                <w:b w:val="false"/>
                <w:bCs w:val="false"/>
                <w:color w:val="1A1A1A"/>
                <w:sz w:val="20"/>
                <w:szCs w:val="20"/>
              </w:rPr>
              <w:t xml:space="preserve">serie_diaria · incidentes_risco · kpi_scorecard · agregados · sinais dos agentes</w:t>
            </w:r>
          </w:p>
        </w:tc>
        <w:tc>
          <w:tcPr>
            <w:tcW w:type="dxa" w:w="3900"/>
            <w:shd w:fill="F2F6F9" w:val="clear"/>
            <w:tcMar>
              <w:top w:type="dxa" w:w="100"/>
              <w:left w:type="dxa" w:w="120"/>
              <w:bottom w:type="dxa" w:w="100"/>
              <w:right w:type="dxa" w:w="120"/>
            </w:tcMar>
          </w:tcPr>
          <w:p>
            <w:pPr>
              <w:jc w:val="left"/>
            </w:pPr>
            <w:r>
              <w:rPr>
                <w:b w:val="false"/>
                <w:bCs w:val="false"/>
                <w:color w:val="1A1A1A"/>
                <w:sz w:val="20"/>
                <w:szCs w:val="20"/>
              </w:rPr>
              <w:t xml:space="preserve">Tabelas prontas para treinar modelo ou alimentar dashboard, sem processamento adicional</w:t>
            </w:r>
          </w:p>
        </w:tc>
      </w:tr>
      <w:tr>
        <w:tc>
          <w:tcPr>
            <w:tcW w:type="dxa" w:w="1700"/>
            <w:shd w:fill="FFFFFF" w:val="clear"/>
            <w:tcMar>
              <w:top w:type="dxa" w:w="100"/>
              <w:left w:type="dxa" w:w="120"/>
              <w:bottom w:type="dxa" w:w="100"/>
              <w:right w:type="dxa" w:w="120"/>
            </w:tcMar>
          </w:tcPr>
          <w:p>
            <w:pPr>
              <w:jc w:val="left"/>
            </w:pPr>
            <w:r>
              <w:rPr>
                <w:b w:val="false"/>
                <w:bCs w:val="false"/>
                <w:color w:val="1A1A1A"/>
                <w:sz w:val="20"/>
                <w:szCs w:val="20"/>
              </w:rPr>
              <w:t xml:space="preserve">Modelos</w:t>
            </w:r>
          </w:p>
        </w:tc>
        <w:tc>
          <w:tcPr>
            <w:tcW w:type="dxa" w:w="4100"/>
            <w:shd w:fill="FFFFFF" w:val="clear"/>
            <w:tcMar>
              <w:top w:type="dxa" w:w="100"/>
              <w:left w:type="dxa" w:w="120"/>
              <w:bottom w:type="dxa" w:w="100"/>
              <w:right w:type="dxa" w:w="120"/>
            </w:tcMar>
          </w:tcPr>
          <w:p>
            <w:pPr>
              <w:jc w:val="left"/>
            </w:pPr>
            <w:r>
              <w:rPr>
                <w:b w:val="false"/>
                <w:bCs w:val="false"/>
                <w:color w:val="1A1A1A"/>
                <w:sz w:val="20"/>
                <w:szCs w:val="20"/>
              </w:rPr>
              <w:t xml:space="preserve">LGBMRegressor (volume D+1/D+7) · LGBMClassifier (risco de OLA)</w:t>
            </w:r>
          </w:p>
        </w:tc>
        <w:tc>
          <w:tcPr>
            <w:tcW w:type="dxa" w:w="3900"/>
            <w:shd w:fill="FFFFFF" w:val="clear"/>
            <w:tcMar>
              <w:top w:type="dxa" w:w="100"/>
              <w:left w:type="dxa" w:w="120"/>
              <w:bottom w:type="dxa" w:w="100"/>
              <w:right w:type="dxa" w:w="120"/>
            </w:tcMar>
          </w:tcPr>
          <w:p>
            <w:pPr>
              <w:jc w:val="left"/>
            </w:pPr>
            <w:r>
              <w:rPr>
                <w:b w:val="false"/>
                <w:bCs w:val="false"/>
                <w:color w:val="1A1A1A"/>
                <w:sz w:val="20"/>
                <w:szCs w:val="20"/>
              </w:rPr>
              <w:t xml:space="preserve">Transformam histórico em previsão validada por backtest</w:t>
            </w:r>
          </w:p>
        </w:tc>
      </w:tr>
      <w:tr>
        <w:tc>
          <w:tcPr>
            <w:tcW w:type="dxa" w:w="1700"/>
            <w:shd w:fill="F2F6F9" w:val="clear"/>
            <w:tcMar>
              <w:top w:type="dxa" w:w="100"/>
              <w:left w:type="dxa" w:w="120"/>
              <w:bottom w:type="dxa" w:w="100"/>
              <w:right w:type="dxa" w:w="120"/>
            </w:tcMar>
          </w:tcPr>
          <w:p>
            <w:pPr>
              <w:jc w:val="left"/>
            </w:pPr>
            <w:r>
              <w:rPr>
                <w:b w:val="false"/>
                <w:bCs w:val="false"/>
                <w:color w:val="1A1A1A"/>
                <w:sz w:val="20"/>
                <w:szCs w:val="20"/>
              </w:rPr>
              <w:t xml:space="preserve">Agentes</w:t>
            </w:r>
          </w:p>
        </w:tc>
        <w:tc>
          <w:tcPr>
            <w:tcW w:type="dxa" w:w="4100"/>
            <w:shd w:fill="F2F6F9" w:val="clear"/>
            <w:tcMar>
              <w:top w:type="dxa" w:w="100"/>
              <w:left w:type="dxa" w:w="120"/>
              <w:bottom w:type="dxa" w:w="100"/>
              <w:right w:type="dxa" w:w="120"/>
            </w:tcMar>
          </w:tcPr>
          <w:p>
            <w:pPr>
              <w:jc w:val="left"/>
            </w:pPr>
            <w:r>
              <w:rPr>
                <w:b w:val="false"/>
                <w:bCs w:val="false"/>
                <w:color w:val="1A1A1A"/>
                <w:sz w:val="20"/>
                <w:szCs w:val="20"/>
              </w:rPr>
              <w:t xml:space="preserve">OrionOrchestrator — ciclo PLAN → DO → CHECK → ACT</w:t>
            </w:r>
          </w:p>
        </w:tc>
        <w:tc>
          <w:tcPr>
            <w:tcW w:type="dxa" w:w="3900"/>
            <w:shd w:fill="F2F6F9" w:val="clear"/>
            <w:tcMar>
              <w:top w:type="dxa" w:w="100"/>
              <w:left w:type="dxa" w:w="120"/>
              <w:bottom w:type="dxa" w:w="100"/>
              <w:right w:type="dxa" w:w="120"/>
            </w:tcMar>
          </w:tcPr>
          <w:p>
            <w:pPr>
              <w:jc w:val="left"/>
            </w:pPr>
            <w:r>
              <w:rPr>
                <w:b w:val="false"/>
                <w:bCs w:val="false"/>
                <w:color w:val="1A1A1A"/>
                <w:sz w:val="20"/>
                <w:szCs w:val="20"/>
              </w:rPr>
              <w:t xml:space="preserve">Transformam previsão em plano de ação priorizado</w:t>
            </w:r>
          </w:p>
        </w:tc>
      </w:tr>
      <w:tr>
        <w:tc>
          <w:tcPr>
            <w:tcW w:type="dxa" w:w="1700"/>
            <w:shd w:fill="FFFFFF" w:val="clear"/>
            <w:tcMar>
              <w:top w:type="dxa" w:w="100"/>
              <w:left w:type="dxa" w:w="120"/>
              <w:bottom w:type="dxa" w:w="100"/>
              <w:right w:type="dxa" w:w="120"/>
            </w:tcMar>
          </w:tcPr>
          <w:p>
            <w:pPr>
              <w:jc w:val="left"/>
            </w:pPr>
            <w:r>
              <w:rPr>
                <w:b w:val="false"/>
                <w:bCs w:val="false"/>
                <w:color w:val="1A1A1A"/>
                <w:sz w:val="20"/>
                <w:szCs w:val="20"/>
              </w:rPr>
              <w:t xml:space="preserve">Consumo</w:t>
            </w:r>
          </w:p>
        </w:tc>
        <w:tc>
          <w:tcPr>
            <w:tcW w:type="dxa" w:w="4100"/>
            <w:shd w:fill="FFFFFF" w:val="clear"/>
            <w:tcMar>
              <w:top w:type="dxa" w:w="100"/>
              <w:left w:type="dxa" w:w="120"/>
              <w:bottom w:type="dxa" w:w="100"/>
              <w:right w:type="dxa" w:w="120"/>
            </w:tcMar>
          </w:tcPr>
          <w:p>
            <w:pPr>
              <w:jc w:val="left"/>
            </w:pPr>
            <w:r>
              <w:rPr>
                <w:b w:val="false"/>
                <w:bCs w:val="false"/>
                <w:color w:val="1A1A1A"/>
                <w:sz w:val="20"/>
                <w:szCs w:val="20"/>
              </w:rPr>
              <w:t xml:space="preserve">Power BI · Teams/e-mail · API FastAPI · plataforma ITSM</w:t>
            </w:r>
          </w:p>
        </w:tc>
        <w:tc>
          <w:tcPr>
            <w:tcW w:type="dxa" w:w="3900"/>
            <w:shd w:fill="FFFFFF" w:val="clear"/>
            <w:tcMar>
              <w:top w:type="dxa" w:w="100"/>
              <w:left w:type="dxa" w:w="120"/>
              <w:bottom w:type="dxa" w:w="100"/>
              <w:right w:type="dxa" w:w="120"/>
            </w:tcMar>
          </w:tcPr>
          <w:p>
            <w:pPr>
              <w:jc w:val="left"/>
            </w:pPr>
            <w:r>
              <w:rPr>
                <w:b w:val="false"/>
                <w:bCs w:val="false"/>
                <w:color w:val="1A1A1A"/>
                <w:sz w:val="20"/>
                <w:szCs w:val="20"/>
              </w:rPr>
              <w:t xml:space="preserve">Onde a decisão chega até quem precisa agir</w:t>
            </w:r>
          </w:p>
        </w:tc>
      </w:tr>
    </w:tbl>
    <w:p>
      <w:pPr>
        <w:spacing w:after="200" w:before="200" w:line="300"/>
        <w:jc w:val="both"/>
      </w:pPr>
      <w:r>
        <w:rPr>
          <w:sz w:val="22"/>
          <w:szCs w:val="22"/>
        </w:rPr>
        <w:t xml:space="preserve">Os cinco notebooks documentam essa jornada em ordem, e cada um corresponde a uma </w:t>
      </w:r>
      <w:r>
        <w:rPr>
          <w:b/>
          <w:bCs/>
          <w:sz w:val="22"/>
          <w:szCs w:val="22"/>
        </w:rPr>
        <w:t xml:space="preserve">decisão de projeto</w:t>
      </w:r>
      <w:r>
        <w:rPr>
          <w:sz w:val="22"/>
          <w:szCs w:val="22"/>
        </w:rPr>
        <w:t xml:space="preserve">, não apenas a uma etapa técnica isolada: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00"/>
      </w:tblGrid>
      <w:tr>
        <w:trPr>
          <w:tblHeader/>
        </w:trPr>
        <w:tc>
          <w:tcPr>
            <w:tcW w:type="dxa" w:w="2600"/>
            <w:shd w:fill="1F3B57" w:val="clear"/>
            <w:tcMar>
              <w:top w:type="dxa" w:w="100"/>
              <w:left w:type="dxa" w:w="120"/>
              <w:bottom w:type="dxa" w:w="100"/>
              <w:right w:type="dxa" w:w="120"/>
            </w:tcMar>
          </w:tcPr>
          <w:p>
            <w:pPr>
              <w:jc w:val="left"/>
            </w:pPr>
            <w:r>
              <w:rPr>
                <w:b/>
                <w:bCs/>
                <w:color w:val="FFFFFF"/>
                <w:sz w:val="20"/>
                <w:szCs w:val="20"/>
              </w:rPr>
              <w:t xml:space="preserve">Notebook</w:t>
            </w:r>
          </w:p>
        </w:tc>
        <w:tc>
          <w:tcPr>
            <w:tcW w:type="dxa" w:w="3600"/>
            <w:shd w:fill="1F3B57" w:val="clear"/>
            <w:tcMar>
              <w:top w:type="dxa" w:w="100"/>
              <w:left w:type="dxa" w:w="120"/>
              <w:bottom w:type="dxa" w:w="100"/>
              <w:right w:type="dxa" w:w="120"/>
            </w:tcMar>
          </w:tcPr>
          <w:p>
            <w:pPr>
              <w:jc w:val="left"/>
            </w:pPr>
            <w:r>
              <w:rPr>
                <w:b/>
                <w:bCs/>
                <w:color w:val="FFFFFF"/>
                <w:sz w:val="20"/>
                <w:szCs w:val="20"/>
              </w:rPr>
              <w:t xml:space="preserve">Papel no pipeline</w:t>
            </w:r>
          </w:p>
        </w:tc>
        <w:tc>
          <w:tcPr>
            <w:tcW w:type="dxa" w:w="3500"/>
            <w:shd w:fill="1F3B57" w:val="clear"/>
            <w:tcMar>
              <w:top w:type="dxa" w:w="100"/>
              <w:left w:type="dxa" w:w="120"/>
              <w:bottom w:type="dxa" w:w="100"/>
              <w:right w:type="dxa" w:w="120"/>
            </w:tcMar>
          </w:tcPr>
          <w:p>
            <w:pPr>
              <w:jc w:val="left"/>
            </w:pPr>
            <w:r>
              <w:rPr>
                <w:b/>
                <w:bCs/>
                <w:color w:val="FFFFFF"/>
                <w:sz w:val="20"/>
                <w:szCs w:val="20"/>
              </w:rPr>
              <w:t xml:space="preserve">Entrega-chave</w:t>
            </w:r>
          </w:p>
        </w:tc>
      </w:tr>
      <w:tr>
        <w:tc>
          <w:tcPr>
            <w:tcW w:type="dxa" w:w="2600"/>
            <w:shd w:fill="F2F6F9" w:val="clear"/>
            <w:tcMar>
              <w:top w:type="dxa" w:w="100"/>
              <w:left w:type="dxa" w:w="120"/>
              <w:bottom w:type="dxa" w:w="100"/>
              <w:right w:type="dxa" w:w="120"/>
            </w:tcMar>
          </w:tcPr>
          <w:p>
            <w:pPr>
              <w:jc w:val="left"/>
            </w:pPr>
            <w:r>
              <w:rPr>
                <w:b w:val="false"/>
                <w:bCs w:val="false"/>
                <w:color w:val="1A1A1A"/>
                <w:sz w:val="20"/>
                <w:szCs w:val="20"/>
              </w:rPr>
              <w:t xml:space="preserve">01 · eda_entendimento_dados</w:t>
            </w:r>
          </w:p>
        </w:tc>
        <w:tc>
          <w:tcPr>
            <w:tcW w:type="dxa" w:w="3600"/>
            <w:shd w:fill="F2F6F9" w:val="clear"/>
            <w:tcMar>
              <w:top w:type="dxa" w:w="100"/>
              <w:left w:type="dxa" w:w="120"/>
              <w:bottom w:type="dxa" w:w="100"/>
              <w:right w:type="dxa" w:w="120"/>
            </w:tcMar>
          </w:tcPr>
          <w:p>
            <w:pPr>
              <w:jc w:val="left"/>
            </w:pPr>
            <w:r>
              <w:rPr>
                <w:b w:val="false"/>
                <w:bCs w:val="false"/>
                <w:color w:val="1A1A1A"/>
                <w:sz w:val="20"/>
                <w:szCs w:val="20"/>
              </w:rPr>
              <w:t xml:space="preserve">Análise exploratória — confronta o dado bruto com o Dicionário de Dados</w:t>
            </w:r>
          </w:p>
        </w:tc>
        <w:tc>
          <w:tcPr>
            <w:tcW w:type="dxa" w:w="3500"/>
            <w:shd w:fill="F2F6F9" w:val="clear"/>
            <w:tcMar>
              <w:top w:type="dxa" w:w="100"/>
              <w:left w:type="dxa" w:w="120"/>
              <w:bottom w:type="dxa" w:w="100"/>
              <w:right w:type="dxa" w:w="120"/>
            </w:tcMar>
          </w:tcPr>
          <w:p>
            <w:pPr>
              <w:jc w:val="left"/>
            </w:pPr>
            <w:r>
              <w:rPr>
                <w:b w:val="false"/>
                <w:bCs w:val="false"/>
                <w:color w:val="1A1A1A"/>
                <w:sz w:val="20"/>
                <w:szCs w:val="20"/>
              </w:rPr>
              <w:t xml:space="preserve">6 achados críticos, entre eles a quebra de regime de set/2025 e a divergência de 3.399 casos na regra de OLA</w:t>
            </w:r>
          </w:p>
        </w:tc>
      </w:tr>
      <w:tr>
        <w:tc>
          <w:tcPr>
            <w:tcW w:type="dxa" w:w="2600"/>
            <w:shd w:fill="FFFFFF" w:val="clear"/>
            <w:tcMar>
              <w:top w:type="dxa" w:w="100"/>
              <w:left w:type="dxa" w:w="120"/>
              <w:bottom w:type="dxa" w:w="100"/>
              <w:right w:type="dxa" w:w="120"/>
            </w:tcMar>
          </w:tcPr>
          <w:p>
            <w:pPr>
              <w:jc w:val="left"/>
            </w:pPr>
            <w:r>
              <w:rPr>
                <w:b w:val="false"/>
                <w:bCs w:val="false"/>
                <w:color w:val="1A1A1A"/>
                <w:sz w:val="20"/>
                <w:szCs w:val="20"/>
              </w:rPr>
              <w:t xml:space="preserve">02 · feature_engineering</w:t>
            </w:r>
          </w:p>
        </w:tc>
        <w:tc>
          <w:tcPr>
            <w:tcW w:type="dxa" w:w="3600"/>
            <w:shd w:fill="FFFFFF" w:val="clear"/>
            <w:tcMar>
              <w:top w:type="dxa" w:w="100"/>
              <w:left w:type="dxa" w:w="120"/>
              <w:bottom w:type="dxa" w:w="100"/>
              <w:right w:type="dxa" w:w="120"/>
            </w:tcMar>
          </w:tcPr>
          <w:p>
            <w:pPr>
              <w:jc w:val="left"/>
            </w:pPr>
            <w:r>
              <w:rPr>
                <w:b w:val="false"/>
                <w:bCs w:val="false"/>
                <w:color w:val="1A1A1A"/>
                <w:sz w:val="20"/>
                <w:szCs w:val="20"/>
              </w:rPr>
              <w:t xml:space="preserve">Construção das duas bases de modelagem</w:t>
            </w:r>
          </w:p>
        </w:tc>
        <w:tc>
          <w:tcPr>
            <w:tcW w:type="dxa" w:w="3500"/>
            <w:shd w:fill="FFFFFF" w:val="clear"/>
            <w:tcMar>
              <w:top w:type="dxa" w:w="100"/>
              <w:left w:type="dxa" w:w="120"/>
              <w:bottom w:type="dxa" w:w="100"/>
              <w:right w:type="dxa" w:w="120"/>
            </w:tcMar>
          </w:tcPr>
          <w:p>
            <w:pPr>
              <w:jc w:val="left"/>
            </w:pPr>
            <w:r>
              <w:rPr>
                <w:b w:val="false"/>
                <w:bCs w:val="false"/>
                <w:color w:val="1A1A1A"/>
                <w:sz w:val="20"/>
                <w:szCs w:val="20"/>
              </w:rPr>
              <w:t xml:space="preserve">Demonstração numérica do vazamento de alvo e sua eliminação (COLUNAS_VAZAMENTO)</w:t>
            </w:r>
          </w:p>
        </w:tc>
      </w:tr>
      <w:tr>
        <w:tc>
          <w:tcPr>
            <w:tcW w:type="dxa" w:w="2600"/>
            <w:shd w:fill="F2F6F9" w:val="clear"/>
            <w:tcMar>
              <w:top w:type="dxa" w:w="100"/>
              <w:left w:type="dxa" w:w="120"/>
              <w:bottom w:type="dxa" w:w="100"/>
              <w:right w:type="dxa" w:w="120"/>
            </w:tcMar>
          </w:tcPr>
          <w:p>
            <w:pPr>
              <w:jc w:val="left"/>
            </w:pPr>
            <w:r>
              <w:rPr>
                <w:b w:val="false"/>
                <w:bCs w:val="false"/>
                <w:color w:val="1A1A1A"/>
                <w:sz w:val="20"/>
                <w:szCs w:val="20"/>
              </w:rPr>
              <w:t xml:space="preserve">03 · modelo_volume_d1_d7</w:t>
            </w:r>
          </w:p>
        </w:tc>
        <w:tc>
          <w:tcPr>
            <w:tcW w:type="dxa" w:w="3600"/>
            <w:shd w:fill="F2F6F9" w:val="clear"/>
            <w:tcMar>
              <w:top w:type="dxa" w:w="100"/>
              <w:left w:type="dxa" w:w="120"/>
              <w:bottom w:type="dxa" w:w="100"/>
              <w:right w:type="dxa" w:w="120"/>
            </w:tcMar>
          </w:tcPr>
          <w:p>
            <w:pPr>
              <w:jc w:val="left"/>
            </w:pPr>
            <w:r>
              <w:rPr>
                <w:b w:val="false"/>
                <w:bCs w:val="false"/>
                <w:color w:val="1A1A1A"/>
                <w:sz w:val="20"/>
                <w:szCs w:val="20"/>
              </w:rPr>
              <w:t xml:space="preserve">Previsão de volume D+1 e D+7</w:t>
            </w:r>
          </w:p>
        </w:tc>
        <w:tc>
          <w:tcPr>
            <w:tcW w:type="dxa" w:w="3500"/>
            <w:shd w:fill="F2F6F9" w:val="clear"/>
            <w:tcMar>
              <w:top w:type="dxa" w:w="100"/>
              <w:left w:type="dxa" w:w="120"/>
              <w:bottom w:type="dxa" w:w="100"/>
              <w:right w:type="dxa" w:w="120"/>
            </w:tcMar>
          </w:tcPr>
          <w:p>
            <w:pPr>
              <w:jc w:val="left"/>
            </w:pPr>
            <w:r>
              <w:rPr>
                <w:b w:val="false"/>
                <w:bCs w:val="false"/>
                <w:color w:val="1A1A1A"/>
                <w:sz w:val="20"/>
                <w:szCs w:val="20"/>
              </w:rPr>
              <w:t xml:space="preserve">Modelo validado por backtest walk-forward de 60 dias, batendo os baselines nas 4 combinações</w:t>
            </w:r>
          </w:p>
        </w:tc>
      </w:tr>
      <w:tr>
        <w:tc>
          <w:tcPr>
            <w:tcW w:type="dxa" w:w="2600"/>
            <w:shd w:fill="FFFFFF" w:val="clear"/>
            <w:tcMar>
              <w:top w:type="dxa" w:w="100"/>
              <w:left w:type="dxa" w:w="120"/>
              <w:bottom w:type="dxa" w:w="100"/>
              <w:right w:type="dxa" w:w="120"/>
            </w:tcMar>
          </w:tcPr>
          <w:p>
            <w:pPr>
              <w:jc w:val="left"/>
            </w:pPr>
            <w:r>
              <w:rPr>
                <w:b w:val="false"/>
                <w:bCs w:val="false"/>
                <w:color w:val="1A1A1A"/>
                <w:sz w:val="20"/>
                <w:szCs w:val="20"/>
              </w:rPr>
              <w:t xml:space="preserve">04 · modelo_risco_ola</w:t>
            </w:r>
          </w:p>
        </w:tc>
        <w:tc>
          <w:tcPr>
            <w:tcW w:type="dxa" w:w="3600"/>
            <w:shd w:fill="FFFFFF" w:val="clear"/>
            <w:tcMar>
              <w:top w:type="dxa" w:w="100"/>
              <w:left w:type="dxa" w:w="120"/>
              <w:bottom w:type="dxa" w:w="100"/>
              <w:right w:type="dxa" w:w="120"/>
            </w:tcMar>
          </w:tcPr>
          <w:p>
            <w:pPr>
              <w:jc w:val="left"/>
            </w:pPr>
            <w:r>
              <w:rPr>
                <w:b w:val="false"/>
                <w:bCs w:val="false"/>
                <w:color w:val="1A1A1A"/>
                <w:sz w:val="20"/>
                <w:szCs w:val="20"/>
              </w:rPr>
              <w:t xml:space="preserve">Classificação de risco de violação de OLA</w:t>
            </w:r>
          </w:p>
        </w:tc>
        <w:tc>
          <w:tcPr>
            <w:tcW w:type="dxa" w:w="3500"/>
            <w:shd w:fill="FFFFFF" w:val="clear"/>
            <w:tcMar>
              <w:top w:type="dxa" w:w="100"/>
              <w:left w:type="dxa" w:w="120"/>
              <w:bottom w:type="dxa" w:w="100"/>
              <w:right w:type="dxa" w:w="120"/>
            </w:tcMar>
          </w:tcPr>
          <w:p>
            <w:pPr>
              <w:jc w:val="left"/>
            </w:pPr>
            <w:r>
              <w:rPr>
                <w:b w:val="false"/>
                <w:bCs w:val="false"/>
                <w:color w:val="1A1A1A"/>
                <w:sz w:val="20"/>
                <w:szCs w:val="20"/>
              </w:rPr>
              <w:t xml:space="preserve">Lift de 19,5x sobre o acaso e ponto de operação negociável (top 10% da fila)</w:t>
            </w:r>
          </w:p>
        </w:tc>
      </w:tr>
      <w:tr>
        <w:tc>
          <w:tcPr>
            <w:tcW w:type="dxa" w:w="2600"/>
            <w:shd w:fill="F2F6F9" w:val="clear"/>
            <w:tcMar>
              <w:top w:type="dxa" w:w="100"/>
              <w:left w:type="dxa" w:w="120"/>
              <w:bottom w:type="dxa" w:w="100"/>
              <w:right w:type="dxa" w:w="120"/>
            </w:tcMar>
          </w:tcPr>
          <w:p>
            <w:pPr>
              <w:jc w:val="left"/>
            </w:pPr>
            <w:r>
              <w:rPr>
                <w:b w:val="false"/>
                <w:bCs w:val="false"/>
                <w:color w:val="1A1A1A"/>
                <w:sz w:val="20"/>
                <w:szCs w:val="20"/>
              </w:rPr>
              <w:t xml:space="preserve">05 · agentes_orquestracao</w:t>
            </w:r>
          </w:p>
        </w:tc>
        <w:tc>
          <w:tcPr>
            <w:tcW w:type="dxa" w:w="3600"/>
            <w:shd w:fill="F2F6F9" w:val="clear"/>
            <w:tcMar>
              <w:top w:type="dxa" w:w="100"/>
              <w:left w:type="dxa" w:w="120"/>
              <w:bottom w:type="dxa" w:w="100"/>
              <w:right w:type="dxa" w:w="120"/>
            </w:tcMar>
          </w:tcPr>
          <w:p>
            <w:pPr>
              <w:jc w:val="left"/>
            </w:pPr>
            <w:r>
              <w:rPr>
                <w:b w:val="false"/>
                <w:bCs w:val="false"/>
                <w:color w:val="1A1A1A"/>
                <w:sz w:val="20"/>
                <w:szCs w:val="20"/>
              </w:rPr>
              <w:t xml:space="preserve">Camada de decisão — 5 agentes sob ciclo PDCA</w:t>
            </w:r>
          </w:p>
        </w:tc>
        <w:tc>
          <w:tcPr>
            <w:tcW w:type="dxa" w:w="3500"/>
            <w:shd w:fill="F2F6F9" w:val="clear"/>
            <w:tcMar>
              <w:top w:type="dxa" w:w="100"/>
              <w:left w:type="dxa" w:w="120"/>
              <w:bottom w:type="dxa" w:w="100"/>
              <w:right w:type="dxa" w:w="120"/>
            </w:tcMar>
          </w:tcPr>
          <w:p>
            <w:pPr>
              <w:jc w:val="left"/>
            </w:pPr>
            <w:r>
              <w:rPr>
                <w:b w:val="false"/>
                <w:bCs w:val="false"/>
                <w:color w:val="1A1A1A"/>
                <w:sz w:val="20"/>
                <w:szCs w:val="20"/>
              </w:rPr>
              <w:t xml:space="preserve">Plano de ação consolidado e prova de isolamento de falha por agente</w:t>
            </w:r>
          </w:p>
        </w:tc>
      </w:tr>
    </w:tbl>
    <w:p>
      <w:pPr>
        <w:spacing w:after="200" w:line="300"/>
        <w:jc w:val="both"/>
      </w:pPr>
      <w:r>
        <w:rPr>
          <w:sz w:val="22"/>
          <w:szCs w:val="22"/>
        </w:rPr>
        <w:t xml:space="preserve">Essa sequência é replicável fora do Jupyter por um único comando, </w:t>
      </w:r>
      <w:r>
        <w:rPr>
          <w:b/>
          <w:bCs/>
          <w:sz w:val="22"/>
          <w:szCs w:val="22"/>
        </w:rPr>
        <w:t xml:space="preserve">python run_pipeline.py</w:t>
      </w:r>
      <w:r>
        <w:rPr>
          <w:sz w:val="22"/>
          <w:szCs w:val="22"/>
        </w:rPr>
        <w:t xml:space="preserve">, que executa as seis etapas — Bronze, Silver, Gold, modelos, agentes e exportação para BI — em cerca de 60 segundos, e pode ser reexecutada a qualquer momento sem sujar o estado anterior, porque cada etapa foi projetada para ser idempotente. Essa mesma característica é o que torna a solução pronta para produção sem reescrita: a evolução planejada troca Parquet local por Delta Lake em nuvem e execução manual por um DAG do Apache Airflow, mantendo a lógica de negócio intacta.</w:t>
      </w:r>
    </w:p>
    <w:p>
      <w:pPr>
        <w:pStyle w:val="Heading1"/>
        <w:pBdr>
          <w:bottom w:val="single" w:color="1F3B57" w:sz="6" w:space="4"/>
        </w:pBdr>
        <w:spacing w:after="200" w:before="480"/>
      </w:pPr>
      <w:r>
        <w:rPr>
          <w:b/>
          <w:bCs/>
          <w:color w:val="1F3B57"/>
          <w:sz w:val="30"/>
          <w:szCs w:val="30"/>
        </w:rPr>
        <w:t xml:space="preserve">3. Dados Brutos</w:t>
      </w:r>
    </w:p>
    <w:p>
      <w:pPr>
        <w:spacing w:after="200" w:line="300"/>
        <w:jc w:val="both"/>
      </w:pPr>
      <w:r>
        <w:rPr>
          <w:sz w:val="22"/>
          <w:szCs w:val="22"/>
        </w:rPr>
        <w:t xml:space="preserve">A fonte de dados é um único arquivo XLSX, </w:t>
      </w:r>
      <w:r>
        <w:rPr>
          <w:b/>
          <w:bCs/>
          <w:sz w:val="22"/>
          <w:szCs w:val="22"/>
        </w:rPr>
        <w:t xml:space="preserve">LWDATASET.xlsx</w:t>
      </w:r>
      <w:r>
        <w:rPr>
          <w:sz w:val="22"/>
          <w:szCs w:val="22"/>
        </w:rPr>
        <w:t xml:space="preserve">, na aba "Dataset Geral" — o export operacional da plataforma de ITSM da Locaweb. Ele reúne </w:t>
      </w:r>
      <w:r>
        <w:rPr>
          <w:b/>
          <w:bCs/>
          <w:sz w:val="22"/>
          <w:szCs w:val="22"/>
        </w:rPr>
        <w:t xml:space="preserve">122.543 incidentes</w:t>
      </w:r>
      <w:r>
        <w:rPr>
          <w:sz w:val="22"/>
          <w:szCs w:val="22"/>
        </w:rPr>
        <w:t xml:space="preserve"> registrados entre 2 de janeiro de 2023 e 31 de dezembro de 2025, distribuídos em dezenove colunas que descrevem três dimensões do chamado: sua identidade (número, prioridade, produto, categoria, subcategoria, grupo designado, item de configuração), seu ciclo de vida (datas de abertura, resolução e encerramento, duração, código de fechamento, tipo de solução, status) e sua relação com o contrato (se o incidente entrou no cálculo de KPI e se violou o OLA).</w:t>
      </w:r>
    </w:p>
    <w:p>
      <w:pPr>
        <w:spacing w:after="200" w:line="300"/>
        <w:jc w:val="both"/>
      </w:pPr>
      <w:r>
        <w:rPr>
          <w:sz w:val="22"/>
          <w:szCs w:val="22"/>
        </w:rPr>
        <w:t xml:space="preserve">A ingestão trata esse arquivo com um princípio deliberadamente conservador: a camada Bronze </w:t>
      </w:r>
      <w:r>
        <w:rPr>
          <w:b/>
          <w:bCs/>
          <w:sz w:val="22"/>
          <w:szCs w:val="22"/>
        </w:rPr>
        <w:t xml:space="preserve">não corrige nada</w:t>
      </w:r>
      <w:r>
        <w:rPr>
          <w:sz w:val="22"/>
          <w:szCs w:val="22"/>
        </w:rPr>
        <w:t xml:space="preserve">. Seu único papel é converter o formato para Parquet — ganhando velocidade e tipagem — e carimbar dois metadados de auditoria em cada carga: o timestamp de ingestão e um hash SHA-256 do arquivo de origem. Antes mesmo de gravar, o pipeline valida que todas as dezenove colunas esperadas estão presentes; se uma faltar, a execução para com um erro explícito em vez de seguir adiante com um contrato de dados quebrado. Essa disciplina existe para que qualquer decisão de limpeza tomada nas camadas seguintes seja auditável contra a origem exata — se um número do painel for questionado por um gestor, é possível voltar ao arquivo Excel original, byte a byte, e confirmar de onde ele veio.</w:t>
      </w:r>
    </w:p>
    <w:p>
      <w:pPr>
        <w:spacing w:after="200" w:line="300"/>
        <w:jc w:val="both"/>
      </w:pPr>
      <w:r>
        <w:rPr>
          <w:sz w:val="22"/>
          <w:szCs w:val="22"/>
        </w:rPr>
        <w:t xml:space="preserve">O perfil bruto já antecipa boa parte do trabalho de tratamento: </w:t>
      </w:r>
      <w:r>
        <w:rPr>
          <w:b/>
          <w:bCs/>
          <w:sz w:val="22"/>
          <w:szCs w:val="22"/>
        </w:rPr>
        <w:t xml:space="preserve">65,6%</w:t>
      </w:r>
      <w:r>
        <w:rPr>
          <w:sz w:val="22"/>
          <w:szCs w:val="22"/>
        </w:rPr>
        <w:t xml:space="preserve"> dos registros são alarmes de monitoramento autorresolvidos sem intervenção humana, </w:t>
      </w:r>
      <w:r>
        <w:rPr>
          <w:b/>
          <w:bCs/>
          <w:sz w:val="22"/>
          <w:szCs w:val="22"/>
        </w:rPr>
        <w:t xml:space="preserve">63,4%</w:t>
      </w:r>
      <w:r>
        <w:rPr>
          <w:sz w:val="22"/>
          <w:szCs w:val="22"/>
        </w:rPr>
        <w:t xml:space="preserve"> não têm categoria nem produto preenchidos, e a distribuição de prioridade é fortemente concentrada em P4 (53%) e P3 (34%), com P1 representada por um único registro em três anos de histórico. Nenhum desses pontos é tratado como ruído a descartar sem registro — cada um se torna uma decisão documentada na camada seguinte.</w:t>
      </w:r>
    </w:p>
    <w:p>
      <w:pPr>
        <w:pStyle w:val="Heading1"/>
        <w:pBdr>
          <w:bottom w:val="single" w:color="1F3B57" w:sz="6" w:space="4"/>
        </w:pBdr>
        <w:spacing w:after="200" w:before="480"/>
      </w:pPr>
      <w:r>
        <w:rPr>
          <w:b/>
          <w:bCs/>
          <w:color w:val="1F3B57"/>
          <w:sz w:val="30"/>
          <w:szCs w:val="30"/>
        </w:rPr>
        <w:t xml:space="preserve">4. Tratamento e Limpeza</w:t>
      </w:r>
    </w:p>
    <w:p>
      <w:pPr>
        <w:spacing w:after="200" w:line="300"/>
        <w:jc w:val="both"/>
      </w:pPr>
      <w:r>
        <w:rPr>
          <w:sz w:val="22"/>
          <w:szCs w:val="22"/>
        </w:rPr>
        <w:t xml:space="preserve">A camada Silver é onde o dado bruto se torna dado confiável — e confiável, neste projeto, não significa "editado para parecer bonito": significa </w:t>
      </w:r>
      <w:r>
        <w:rPr>
          <w:b/>
          <w:bCs/>
          <w:sz w:val="22"/>
          <w:szCs w:val="22"/>
        </w:rPr>
        <w:t xml:space="preserve">tipado corretamente, auditado contra a regra de negócio e transparente sobre suas próprias inconsistências</w:t>
      </w:r>
      <w:r>
        <w:rPr>
          <w:sz w:val="22"/>
          <w:szCs w:val="22"/>
        </w:rPr>
        <w:t xml:space="preserve">. O tratamento começa pela tipagem: as três datas do ciclo de vida são convertidas para o formato datetime, a duração é forçada a numérico, e os quinze campos textuais restantes passam por normalização — remoção de espaços supérfluos e conversão de strings vazias para valor nulo explícito, para que "sem informação" nunca seja confundido com uma categoria válida representada por texto vazio. Os nomes de coluna, originalmente em português com espaços e maiúsculas do relatório de origem, são padronizados em snake_case, e os dois flags binários do cliente — "Entrou para KPI?" e "KPI Violado?" — são convertidos de SIM/NÃO para booleano de forma explícita, evitando o bug clássico de comparação textual quando o Excel devolve variações de acentuação.</w:t>
      </w:r>
    </w:p>
    <w:p>
      <w:pPr>
        <w:spacing w:after="200" w:line="300"/>
        <w:jc w:val="both"/>
      </w:pPr>
      <w:r>
        <w:rPr>
          <w:sz w:val="22"/>
          <w:szCs w:val="22"/>
        </w:rPr>
        <w:t xml:space="preserve">O tratamento mais importante desta camada, porém, não é sintático — é o </w:t>
      </w:r>
      <w:r>
        <w:rPr>
          <w:b/>
          <w:bCs/>
          <w:sz w:val="22"/>
          <w:szCs w:val="22"/>
        </w:rPr>
        <w:t xml:space="preserve">recálculo independente das regras de negócio</w:t>
      </w:r>
      <w:r>
        <w:rPr>
          <w:sz w:val="22"/>
          <w:szCs w:val="22"/>
        </w:rPr>
        <w:t xml:space="preserve">. Em vez de simplesmente confiar no flag "KPI Violado?" entregue pelo cliente, o pipeline reconstrói essa mesma regra a partir do zero, comparando a duração de cada incidente contra o limite contratual da sua prioridade, e expõe qualquer divergência numa coluna própria — </w:t>
      </w:r>
      <w:r>
        <w:rPr>
          <w:i/>
          <w:iCs/>
          <w:sz w:val="22"/>
          <w:szCs w:val="22"/>
        </w:rPr>
        <w:t xml:space="preserve">ola_divergencia</w:t>
      </w:r>
      <w:r>
        <w:rPr>
          <w:sz w:val="22"/>
          <w:szCs w:val="22"/>
        </w:rPr>
        <w:t xml:space="preserve"> — em vez de escondê-la. Esse recálculo revelou </w:t>
      </w:r>
      <w:r>
        <w:rPr>
          <w:b/>
          <w:bCs/>
          <w:sz w:val="22"/>
          <w:szCs w:val="22"/>
        </w:rPr>
        <w:t xml:space="preserve">3.399 casos</w:t>
      </w:r>
      <w:r>
        <w:rPr>
          <w:sz w:val="22"/>
          <w:szCs w:val="22"/>
        </w:rPr>
        <w:t xml:space="preserve"> em que o cálculo teórico e o flag operacional do cliente não coincidem, achado que se tornaria invisível se a Silver apenas repassasse o dado sem questioná-lo. A mesma lógica de auditoria se repete na elegibilidade ao KPI: a regra escrita no dicionário é reconstruída de forma independente e reproduz o flag do cliente em </w:t>
      </w:r>
      <w:r>
        <w:rPr>
          <w:b/>
          <w:bCs/>
          <w:sz w:val="22"/>
          <w:szCs w:val="22"/>
        </w:rPr>
        <w:t xml:space="preserve">99,88%</w:t>
      </w:r>
      <w:r>
        <w:rPr>
          <w:sz w:val="22"/>
          <w:szCs w:val="22"/>
        </w:rPr>
        <w:t xml:space="preserve"> dos casos, deixando expostas as 151 divergências restantes em vez de arredondar o problema para zero.</w:t>
      </w:r>
    </w:p>
    <w:p>
      <w:pPr>
        <w:spacing w:after="200" w:line="300"/>
        <w:jc w:val="both"/>
      </w:pPr>
      <w:r>
        <w:rPr>
          <w:sz w:val="22"/>
          <w:szCs w:val="22"/>
        </w:rPr>
        <w:t xml:space="preserve">Além disso, a Silver marca sistematicamente a qualidade de cada registro em vez de descartar silenciosamente linhas problemáticas: sinaliza incidentes sem data de resolução, durações negativas, encerramentos registrados antes da abertura, e a ausência conjunta de categoria e produto — problema que atinge 63,4% da base e que, em vez de forçar a exclusão da linha, vira uma feature própria (</w:t>
      </w:r>
      <w:r>
        <w:rPr>
          <w:i/>
          <w:iCs/>
          <w:sz w:val="22"/>
          <w:szCs w:val="22"/>
        </w:rPr>
        <w:t xml:space="preserve">tem_taxonomia</w:t>
      </w:r>
      <w:r>
        <w:rPr>
          <w:sz w:val="22"/>
          <w:szCs w:val="22"/>
        </w:rPr>
        <w:t xml:space="preserve">) usada mais adiante na modelagem. É também aqui que nasce a flag </w:t>
      </w:r>
      <w:r>
        <w:rPr>
          <w:i/>
          <w:iCs/>
          <w:sz w:val="22"/>
          <w:szCs w:val="22"/>
        </w:rPr>
        <w:t xml:space="preserve">is_ruido_monitoramento</w:t>
      </w:r>
      <w:r>
        <w:rPr>
          <w:sz w:val="22"/>
          <w:szCs w:val="22"/>
        </w:rPr>
        <w:t xml:space="preserve">, que isola os alarmes autorresolvidos sem intervenção humana e que se mostrou essencial para não confundir mudança de instrumentação com sinal real de degradação operacional — foi essa flag que permitiu isolar e explicar o salto de 6 vezes no volume de setembro de 2025 sem contaminar a série usada para prever a operação real.</w:t>
      </w:r>
    </w:p>
    <w:p>
      <w:pPr>
        <w:pStyle w:val="Heading1"/>
        <w:pBdr>
          <w:bottom w:val="single" w:color="1F3B57" w:sz="6" w:space="4"/>
        </w:pBdr>
        <w:spacing w:after="200" w:before="480"/>
      </w:pPr>
      <w:r>
        <w:rPr>
          <w:b/>
          <w:bCs/>
          <w:color w:val="1F3B57"/>
          <w:sz w:val="30"/>
          <w:szCs w:val="30"/>
        </w:rPr>
        <w:t xml:space="preserve">5. Lógica de Transformação</w:t>
      </w:r>
    </w:p>
    <w:p>
      <w:pPr>
        <w:spacing w:after="200" w:line="300"/>
        <w:jc w:val="both"/>
      </w:pPr>
      <w:r>
        <w:rPr>
          <w:sz w:val="22"/>
          <w:szCs w:val="22"/>
        </w:rPr>
        <w:t xml:space="preserve">A camada Gold é onde a decisão de negócio se transforma em atributo de modelo. Toda regra que nasceria de uma reunião com o cliente — limites de OLA por prioridade, faixas de atingimento de meta, elegibilidade ao KPI — vive centralizada em um único arquivo, </w:t>
      </w:r>
      <w:r>
        <w:rPr>
          <w:b/>
          <w:bCs/>
          <w:sz w:val="22"/>
          <w:szCs w:val="22"/>
        </w:rPr>
        <w:t xml:space="preserve">config.py</w:t>
      </w:r>
      <w:r>
        <w:rPr>
          <w:sz w:val="22"/>
          <w:szCs w:val="22"/>
        </w:rPr>
        <w:t xml:space="preserve">. Essa centralização não é um detalhe de organização de código: significa que, se a Locaweb decidir mudar uma meta contratual amanhã, a alteração acontece em uma linha, e pipeline, modelos e painel de BI passam a refletir a nova regra automaticamente, sem risco de um deles ficar defasado em relação aos outros.</w:t>
      </w:r>
    </w:p>
    <w:p>
      <w:pPr>
        <w:spacing w:after="200" w:line="300"/>
        <w:jc w:val="both"/>
      </w:pPr>
      <w:r>
        <w:rPr>
          <w:sz w:val="22"/>
          <w:szCs w:val="22"/>
        </w:rPr>
        <w:t xml:space="preserve">A partir da Silver, a Gold produz duas bases de modelagem com propósitos deliberadamente diferentes. A primeira é uma </w:t>
      </w:r>
      <w:r>
        <w:rPr>
          <w:b/>
          <w:bCs/>
          <w:sz w:val="22"/>
          <w:szCs w:val="22"/>
        </w:rPr>
        <w:t xml:space="preserve">série temporal diária por prioridade</w:t>
      </w:r>
      <w:r>
        <w:rPr>
          <w:sz w:val="22"/>
          <w:szCs w:val="22"/>
        </w:rPr>
        <w:t xml:space="preserve">, construída sobre uma grade completa de datas — mesmo os dias sem nenhum incidente entram com volume zero, para que o modelo aprenda o padrão real da série, e não apenas os dias em que algo aconteceu. Sobre essa grade são calculadas quatro famílias de atributos: variáveis de calendário, incluindo uma codificação cíclica seno/cosseno que aproxima domingo e segunda-feira no espaço de features, já que são dias adjacentes no calendário real; defasagens de 1, 2, 3, 7, 14 e 28 dias; médias, desvios e máximos móveis nas mesmas janelas, sempre deslocados um dia para trás para nunca incluir informação do próprio dia da previsão; e uma feature de sazonalidade dedicada — a média do mesmo dia da semana nas quatro semanas anteriores — que captura diretamente o padrão mais forte encontrado na análise exploratória, já que o volume de domingo chega a ser quatro vezes menor que o de terça-feira. Um cuidado técnico relevante nesta etapa: como a série cobre duas prioridades diferentes, calcular a janela móvel de forma ingênua sobre a série inteira misturaria os dois grupos numa mesma média; a solução aplica a agregação por prioridade antes de calcular a janela, garantindo que o histórico de P2 nunca vaze para P3 nem o contrário.</w:t>
      </w:r>
    </w:p>
    <w:p>
      <w:pPr>
        <w:spacing w:after="200" w:line="300"/>
        <w:jc w:val="both"/>
      </w:pPr>
      <w:r>
        <w:rPr>
          <w:sz w:val="22"/>
          <w:szCs w:val="22"/>
        </w:rPr>
        <w:t xml:space="preserve">A segunda base tem grão de incidente e um único propósito: alimentar o classificador de risco de OLA </w:t>
      </w:r>
      <w:r>
        <w:rPr>
          <w:b/>
          <w:bCs/>
          <w:sz w:val="22"/>
          <w:szCs w:val="22"/>
        </w:rPr>
        <w:t xml:space="preserve">sem nenhum vazamento de alvo</w:t>
      </w:r>
      <w:r>
        <w:rPr>
          <w:sz w:val="22"/>
          <w:szCs w:val="22"/>
        </w:rPr>
        <w:t xml:space="preserve">. A regra de ouro do projeto é explícita — nenhuma coluna que só passa a existir depois que o incidente é resolvido pode entrar como atributo. Duração, datas de resolução e encerramento, código de fechamento, tipo de solução e status ficam permanentemente banidos por uma lista nomeada, </w:t>
      </w:r>
      <w:r>
        <w:rPr>
          <w:i/>
          <w:iCs/>
          <w:sz w:val="22"/>
          <w:szCs w:val="22"/>
        </w:rPr>
        <w:t xml:space="preserve">COLUNAS_VAZAMENTO</w:t>
      </w:r>
      <w:r>
        <w:rPr>
          <w:sz w:val="22"/>
          <w:szCs w:val="22"/>
        </w:rPr>
        <w:t xml:space="preserve">, restrição validada por teste automatizado que interrompe a integração contínua caso qualquer uma dessas colunas retorne às features. Em seu lugar, a base carrega apenas o que já era conhecido no instante da abertura: os atributos do próprio chamado, uma medida de pressão operacional no momento — quantos chamados aquele grupo recebeu nas últimas 24 horas, quantos aquele ativo gerou nos últimos sete dias, a carga geral da operação — e um histórico de violação por grupo, ativo, categoria e produto, calculado exclusivamente com incidentes anteriores àquele registro. Essa última escolha evita uma forma mais sutil de vazamento: usar a taxa de violação do período inteiro pareceria inofensivo, mas na prática usaria informação do futuro para prever o passado.</w:t>
      </w:r>
    </w:p>
    <w:p>
      <w:pPr>
        <w:spacing w:after="200" w:line="300"/>
        <w:jc w:val="both"/>
      </w:pPr>
      <w:r>
        <w:rPr>
          <w:sz w:val="22"/>
          <w:szCs w:val="22"/>
        </w:rPr>
        <w:t xml:space="preserve">A camada Gold também materializa os agregados que sustentam o painel executivo e a auditoria de metas — recortes por categoria, produto, item de configuração e grupo, além de um scorecard que aplica a lógica de faixas discretas do Dicionário de Dados para calcular não apenas o percentual de atingimento, mas a </w:t>
      </w:r>
      <w:r>
        <w:rPr>
          <w:b/>
          <w:bCs/>
          <w:sz w:val="22"/>
          <w:szCs w:val="22"/>
        </w:rPr>
        <w:t xml:space="preserve">distância exata, em número de incidentes, até o próximo degrau da meta</w:t>
      </w:r>
      <w:r>
        <w:rPr>
          <w:sz w:val="22"/>
          <w:szCs w:val="22"/>
        </w:rPr>
        <w:t xml:space="preserve">. É essa função que não existe pronta em nenhuma ferramenta de BI convencional e que transforma um indicador de fechamento anual em um alerta operacional do dia a dia — a mesma lógica que revelou que três incidentes separaram os 75% dos 100% de atingimento em 2025 agora monitora, em tempo real, a distância até o próximo degrau cair.</w:t>
      </w:r>
    </w:p>
    <w:p>
      <w:pPr>
        <w:pBdr>
          <w:bottom w:val="single" w:color="CCCCCC" w:sz="6" w:space="1"/>
        </w:pBdr>
        <w:spacing w:after="300" w:before="100"/>
      </w:pPr>
      <w:r>
        <w:t xml:space="preserve"/>
      </w:r>
    </w:p>
    <w:p>
      <w:pPr>
        <w:spacing w:before="200"/>
        <w:jc w:val="center"/>
      </w:pPr>
      <w:r>
        <w:rPr>
          <w:i/>
          <w:iCs/>
          <w:sz w:val="22"/>
          <w:szCs w:val="22"/>
        </w:rPr>
        <w:t xml:space="preserve">Documento de apoio técnico-comercial do projeto ORION AIOps. Fontes: README.md, docs/ARQUITETURA.md, docs/EDA_ACHADOS.md, docs/DICIONARIO_ENTENDIMENTO.md e código-fonte em src/orion/.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2026-08-15T23:59:56.747Z</dcterms:created>
  <dcterms:modified xsi:type="dcterms:W3CDTF">2026-08-15T23:59:56.747Z</dcterms:modified>
</cp:coreProperties>
</file>

<file path=docProps/custom.xml><?xml version="1.0" encoding="utf-8"?>
<Properties xmlns="http://schemas.openxmlformats.org/officeDocument/2006/custom-properties" xmlns:vt="http://schemas.openxmlformats.org/officeDocument/2006/docPropsVTypes"/>
</file>