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01.07.2024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Сервис подтверждений</w:t>
      </w:r>
    </w:p>
    <w:p>
      <w:r>
        <w:t xml:space="preserve">    - Добавлена поддержка командировок.</w:t>
      </w:r>
    </w:p>
    <w:p>
      <w:r>
        <w:t>Сервис расчета зарплаты</w:t>
      </w:r>
    </w:p>
    <w:p>
      <w:r>
        <w:t xml:space="preserve">    - Повышение бонусов на 2% по Рябинину.</w:t>
      </w:r>
    </w:p>
    <w:p>
      <w:r>
        <w:t xml:space="preserve">    - Учтены оплаченные, но не отгруженные заказы за июль.</w:t>
      </w:r>
    </w:p>
    <w:p>
      <w:r>
        <w:t xml:space="preserve">    - Проведен рефакторинг кода.</w:t>
      </w:r>
    </w:p>
    <w:p>
      <w:r>
        <w:t xml:space="preserve">    - Удален отдел Терапия 2, сотрудники перераспределены в другие отделы.</w:t>
      </w:r>
    </w:p>
    <w:p>
      <w:r>
        <w:t xml:space="preserve">    - Добавлены оплаченные, но не отгруженные заказы за июнь.</w:t>
      </w:r>
    </w:p>
    <w:p>
      <w:r>
        <w:t xml:space="preserve">    - План на июль добавлен.</w:t>
      </w:r>
    </w:p>
    <w:p>
      <w:r>
        <w:t xml:space="preserve">    - Улучшены алгоритмы добавления нового пользователя.</w:t>
      </w:r>
    </w:p>
    <w:p>
      <w:r>
        <w:t xml:space="preserve">    - Добавлен алгоритм пропорционального урезания плана в зависимости от продолжительности отпуска.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