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-626109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Name:undefined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CAMLite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undefined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undefined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test unit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undefined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undefined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