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before="0" w:after="6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51960" cy="2125980"/>
            <wp:docPr id="1" name="Picture 1" descr="Logotipo de Nubixor" title="Nubix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bixo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240" w:lineRule="auto"/>
        <w:jc w:val="center"/>
      </w:pPr>
      <w:r>
        <w:rPr>
          <w:rFonts w:ascii="Calibri" w:hAnsi="Calibri"/>
          <w:b/>
          <w:color w:val="21C9E8"/>
          <w:sz w:val="18"/>
        </w:rPr>
        <w:t>MANUAL FUNCIONAL Y OPERATIVO</w:t>
      </w:r>
    </w:p>
    <w:p>
      <w:pPr>
        <w:keepNext/>
        <w:spacing w:before="0" w:after="200" w:line="221" w:lineRule="auto"/>
        <w:jc w:val="center"/>
      </w:pPr>
      <w:r>
        <w:rPr>
          <w:rFonts w:ascii="Avenir Next Condensed" w:hAnsi="Avenir Next Condensed"/>
          <w:b/>
          <w:color w:val="081447"/>
          <w:sz w:val="68"/>
        </w:rPr>
        <w:t>Cómo funciona Nubixor</w:t>
      </w:r>
    </w:p>
    <w:p>
      <w:pPr>
        <w:spacing w:before="0" w:after="600" w:line="288" w:lineRule="auto"/>
        <w:jc w:val="center"/>
      </w:pPr>
      <w:r>
        <w:rPr>
          <w:rFonts w:ascii="Calibri" w:hAnsi="Calibri"/>
          <w:color w:val="687087"/>
          <w:sz w:val="28"/>
        </w:rPr>
        <w:t>Guía completa de módulos, usuarios, procesos empresariales, controles y preparación para operación real.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2ECFF"/>
            <w:tcBorders>
              <w:start w:val="single" w:sz="24" w:color="8B4DFF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81447"/>
                <w:sz w:val="19"/>
              </w:rPr>
              <w:t xml:space="preserve">VERSIÓN DEL DOCUMENTO  </w:t>
            </w:r>
            <w:r>
              <w:rPr>
                <w:rFonts w:ascii="Calibri" w:hAnsi="Calibri"/>
                <w:color w:val="081447"/>
                <w:sz w:val="19"/>
              </w:rPr>
              <w:t>Edición 1.0 · Estado del producto revisado al 28 de julio de 2026.</w:t>
            </w:r>
          </w:p>
        </w:tc>
      </w:tr>
    </w:tbl>
    <w:p>
      <w:pPr>
        <w:spacing w:before="0" w:after="40" w:line="240" w:lineRule="auto"/>
      </w:pPr>
    </w:p>
    <w:p>
      <w:pPr>
        <w:spacing w:before="680" w:after="0" w:line="240" w:lineRule="auto"/>
        <w:jc w:val="center"/>
      </w:pPr>
      <w:r>
        <w:rPr>
          <w:rFonts w:ascii="Calibri" w:hAnsi="Calibri"/>
          <w:b/>
          <w:color w:val="081447"/>
          <w:sz w:val="18"/>
        </w:rPr>
        <w:t>ERP MULTIEMPRESA · CAJA · INVENTARIO · FINANZAS · AUDITORÍA</w:t>
      </w:r>
    </w:p>
    <w:p>
      <w:r>
        <w:br w:type="page"/>
      </w: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GUÍA DE NAVEGACIÓN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Contenido del manual</w:t>
      </w:r>
    </w:p>
    <w:p>
      <w:pPr>
        <w:spacing w:before="0" w:after="280" w:line="288" w:lineRule="auto"/>
        <w:jc w:val="left"/>
      </w:pPr>
      <w:r>
        <w:rPr>
          <w:rFonts w:ascii="Calibri" w:hAnsi="Calibri"/>
          <w:color w:val="687087"/>
          <w:sz w:val="26"/>
        </w:rPr>
        <w:t>El documento sigue el recorrido real de una operación, desde la configuración inicial hasta el cierre y la auditoría.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8460"/>
      </w:tblGrid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21C9E8"/>
                <w:sz w:val="20"/>
              </w:rPr>
              <w:t>01</w:t>
            </w:r>
          </w:p>
        </w:tc>
        <w:tc>
          <w:tcPr>
            <w:tcW w:type="dxa" w:w="8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Qué es Nubixor y cómo está organizado</w:t>
            </w:r>
          </w:p>
        </w:tc>
      </w:tr>
      <w:tr>
        <w:tc>
          <w:tcPr>
            <w:tcW w:type="dxa" w:w="9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8B4DFF"/>
                <w:sz w:val="20"/>
              </w:rPr>
              <w:t>02</w:t>
            </w:r>
          </w:p>
        </w:tc>
        <w:tc>
          <w:tcPr>
            <w:tcW w:type="dxa" w:w="84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Acceso, usuarios, roles y aislamiento multiempresa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21C9E8"/>
                <w:sz w:val="20"/>
              </w:rPr>
              <w:t>03</w:t>
            </w:r>
          </w:p>
        </w:tc>
        <w:tc>
          <w:tcPr>
            <w:tcW w:type="dxa" w:w="8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Configuración inicial de una empresa</w:t>
            </w:r>
          </w:p>
        </w:tc>
      </w:tr>
      <w:tr>
        <w:tc>
          <w:tcPr>
            <w:tcW w:type="dxa" w:w="9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8B4DFF"/>
                <w:sz w:val="20"/>
              </w:rPr>
              <w:t>04</w:t>
            </w:r>
          </w:p>
        </w:tc>
        <w:tc>
          <w:tcPr>
            <w:tcW w:type="dxa" w:w="84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Dashboard ejecutivo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21C9E8"/>
                <w:sz w:val="20"/>
              </w:rPr>
              <w:t>05</w:t>
            </w:r>
          </w:p>
        </w:tc>
        <w:tc>
          <w:tcPr>
            <w:tcW w:type="dxa" w:w="8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Catálogo de productos e impuestos</w:t>
            </w:r>
          </w:p>
        </w:tc>
      </w:tr>
      <w:tr>
        <w:tc>
          <w:tcPr>
            <w:tcW w:type="dxa" w:w="9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8B4DFF"/>
                <w:sz w:val="20"/>
              </w:rPr>
              <w:t>06</w:t>
            </w:r>
          </w:p>
        </w:tc>
        <w:tc>
          <w:tcPr>
            <w:tcW w:type="dxa" w:w="84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Bodegas, exhibición e inventario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21C9E8"/>
                <w:sz w:val="20"/>
              </w:rPr>
              <w:t>07</w:t>
            </w:r>
          </w:p>
        </w:tc>
        <w:tc>
          <w:tcPr>
            <w:tcW w:type="dxa" w:w="8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Compras y cuentas por pagar</w:t>
            </w:r>
          </w:p>
        </w:tc>
      </w:tr>
      <w:tr>
        <w:tc>
          <w:tcPr>
            <w:tcW w:type="dxa" w:w="9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8B4DFF"/>
                <w:sz w:val="20"/>
              </w:rPr>
              <w:t>08</w:t>
            </w:r>
          </w:p>
        </w:tc>
        <w:tc>
          <w:tcPr>
            <w:tcW w:type="dxa" w:w="84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Caja, ventas y comprobantes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21C9E8"/>
                <w:sz w:val="20"/>
              </w:rPr>
              <w:t>09</w:t>
            </w:r>
          </w:p>
        </w:tc>
        <w:tc>
          <w:tcPr>
            <w:tcW w:type="dxa" w:w="8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Devoluciones y notas crédito</w:t>
            </w:r>
          </w:p>
        </w:tc>
      </w:tr>
      <w:tr>
        <w:tc>
          <w:tcPr>
            <w:tcW w:type="dxa" w:w="9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8B4DFF"/>
                <w:sz w:val="20"/>
              </w:rPr>
              <w:t>10</w:t>
            </w:r>
          </w:p>
        </w:tc>
        <w:tc>
          <w:tcPr>
            <w:tcW w:type="dxa" w:w="84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Cartera y cuentas por cobrar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21C9E8"/>
                <w:sz w:val="20"/>
              </w:rPr>
              <w:t>11</w:t>
            </w:r>
          </w:p>
        </w:tc>
        <w:tc>
          <w:tcPr>
            <w:tcW w:type="dxa" w:w="8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Facturación electrónica con Factus</w:t>
            </w:r>
          </w:p>
        </w:tc>
      </w:tr>
      <w:tr>
        <w:tc>
          <w:tcPr>
            <w:tcW w:type="dxa" w:w="9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8B4DFF"/>
                <w:sz w:val="20"/>
              </w:rPr>
              <w:t>12</w:t>
            </w:r>
          </w:p>
        </w:tc>
        <w:tc>
          <w:tcPr>
            <w:tcW w:type="dxa" w:w="84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Contabilidad, conciliación y auditoría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21C9E8"/>
                <w:sz w:val="20"/>
              </w:rPr>
              <w:t>13</w:t>
            </w:r>
          </w:p>
        </w:tc>
        <w:tc>
          <w:tcPr>
            <w:tcW w:type="dxa" w:w="8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Reportes, seguridad y copias de respaldo</w:t>
            </w:r>
          </w:p>
        </w:tc>
      </w:tr>
      <w:tr>
        <w:tc>
          <w:tcPr>
            <w:tcW w:type="dxa" w:w="9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8B4DFF"/>
                <w:sz w:val="20"/>
              </w:rPr>
              <w:t>14</w:t>
            </w:r>
          </w:p>
        </w:tc>
        <w:tc>
          <w:tcPr>
            <w:tcW w:type="dxa" w:w="84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81447"/>
                <w:sz w:val="20"/>
              </w:rPr>
              <w:t>Rutina diaria y preparación para producción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01 · VISIÓN GENERAL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Qué es Nubixor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Nubixor es una plataforma ERP modular y multiempresa. Reúne administración, catálogo, inventario, compras, caja, cartera, facturación, contabilidad, auditoría y reportes en una sola aplicación.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7FAFD"/>
            <w:tcBorders>
              <w:start w:val="single" w:sz="24" w:color="21C9E8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81447"/>
                <w:sz w:val="19"/>
              </w:rPr>
              <w:t xml:space="preserve">IDEA CENTRAL  </w:t>
            </w:r>
            <w:r>
              <w:rPr>
                <w:rFonts w:ascii="Calibri" w:hAnsi="Calibri"/>
                <w:color w:val="081447"/>
                <w:sz w:val="19"/>
              </w:rPr>
              <w:t>Cada operación pertenece a una empresa, sucursal, usuario y documento identificables. El sistema no debe mezclar productos, dinero, inventario ni numeración entre empresas.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Cómo está organizado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100"/>
        <w:gridCol w:w="3660"/>
      </w:tblGrid>
      <w:tr>
        <w:trPr>
          <w:tblHeader w:val="true"/>
          <w:cantSplit w:val="true"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principal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Administración</w:t>
            </w:r>
          </w:p>
        </w:tc>
        <w:tc>
          <w:tcPr>
            <w:tcW w:type="dxa" w:w="4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Empresas, sucursales y contexto activo.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Estructura legal y operativa separada.</w:t>
            </w:r>
          </w:p>
        </w:tc>
      </w:tr>
      <w:tr>
        <w:trPr>
          <w:cantSplit w:val="true"/>
        </w:trPr>
        <w:tc>
          <w:tcPr>
            <w:tcW w:type="dxa" w:w="16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Inventario</w:t>
            </w:r>
          </w:p>
        </w:tc>
        <w:tc>
          <w:tcPr>
            <w:tcW w:type="dxa" w:w="41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Catálogo, bodegas, exhibición y movimientos.</w:t>
            </w:r>
          </w:p>
        </w:tc>
        <w:tc>
          <w:tcPr>
            <w:tcW w:type="dxa" w:w="36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Existencias y costo trazables.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Abastecimiento</w:t>
            </w:r>
          </w:p>
        </w:tc>
        <w:tc>
          <w:tcPr>
            <w:tcW w:type="dxa" w:w="4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Proveedores, compras y obligaciones.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Recepción y cuentas por pagar.</w:t>
            </w:r>
          </w:p>
        </w:tc>
      </w:tr>
      <w:tr>
        <w:trPr>
          <w:cantSplit w:val="true"/>
        </w:trPr>
        <w:tc>
          <w:tcPr>
            <w:tcW w:type="dxa" w:w="16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Ventas</w:t>
            </w:r>
          </w:p>
        </w:tc>
        <w:tc>
          <w:tcPr>
            <w:tcW w:type="dxa" w:w="41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Caja, clientes, pagos, devoluciones y cartera.</w:t>
            </w:r>
          </w:p>
        </w:tc>
        <w:tc>
          <w:tcPr>
            <w:tcW w:type="dxa" w:w="36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Ventas y documentos por empresa.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Control</w:t>
            </w:r>
          </w:p>
        </w:tc>
        <w:tc>
          <w:tcPr>
            <w:tcW w:type="dxa" w:w="4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Usuarios, permisos, contabilidad y auditoría.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Responsabilidad y evidencia.</w:t>
            </w:r>
          </w:p>
        </w:tc>
      </w:tr>
      <w:tr>
        <w:trPr>
          <w:cantSplit w:val="true"/>
        </w:trPr>
        <w:tc>
          <w:tcPr>
            <w:tcW w:type="dxa" w:w="16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Análisis</w:t>
            </w:r>
          </w:p>
        </w:tc>
        <w:tc>
          <w:tcPr>
            <w:tcW w:type="dxa" w:w="41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Dashboard y reportes exportables.</w:t>
            </w:r>
          </w:p>
        </w:tc>
        <w:tc>
          <w:tcPr>
            <w:tcW w:type="dxa" w:w="36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Decisiones con datos operativos.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</w:pPr>
      <w:r>
        <w:t>Arquitectura operativa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01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02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03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Sucursal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04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05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Auditoría</w:t>
            </w:r>
          </w:p>
        </w:tc>
      </w:tr>
    </w:tbl>
    <w:p/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 interfaz se ejecuta en el navegador y se conecta a una API local.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PostgreSQL conserva las operaciones y relaciones empresariales.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Redis apoya sesiones, controles temporales y disponibilidad.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Los documentos e imágenes privadas se almacenan fuera de la carpeta pública.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Las migraciones permiten evolucionar la base de datos de manera controlada.</w:t>
      </w:r>
    </w:p>
    <w:p>
      <w:r>
        <w:br w:type="page"/>
      </w: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02 · SEGURIDAD Y PERSONAS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Acceso, usuarios y roles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Nubixor utiliza sesiones seguras, permisos por operación y membresías por empresa. La interfaz oculta áreas no autorizadas, pero la validación definitiva siempre ocurre también en el servidor.</w:t>
      </w:r>
    </w:p>
    <w:p>
      <w:pPr>
        <w:pStyle w:val="Heading2"/>
      </w:pPr>
      <w:r>
        <w:t>Inicio y protección de sesión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 primera apertura permite definir la contraseña inicial del propietario una sola vez.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Las sesiones usan cookie HttpOnly y protección CSRF para operaciones de escritura.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Cinco intentos fallidos producen un bloqueo temporal.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Las invitaciones son personales, de un solo uso y tienen vigencia limitada.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 recuperación de contraseña invalida las sesiones anteriores.</w:t>
      </w:r>
    </w:p>
    <w:p>
      <w:pPr>
        <w:pStyle w:val="Heading2"/>
      </w:pPr>
      <w:r>
        <w:t>Roles recomendados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4580"/>
        <w:gridCol w:w="3030"/>
      </w:tblGrid>
      <w:tr>
        <w:trPr>
          <w:tblHeader w:val="true"/>
          <w:cantSplit w:val="true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5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 habitual</w:t>
            </w:r>
          </w:p>
        </w:tc>
        <w:tc>
          <w:tcPr>
            <w:tcW w:type="dxa" w:w="30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Propietario</w:t>
            </w:r>
          </w:p>
        </w:tc>
        <w:tc>
          <w:tcPr>
            <w:tcW w:type="dxa" w:w="45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Configuración completa y decisiones críticas.</w:t>
            </w:r>
          </w:p>
        </w:tc>
        <w:tc>
          <w:tcPr>
            <w:tcW w:type="dxa" w:w="30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Empresa completa.</w:t>
            </w:r>
          </w:p>
        </w:tc>
      </w:tr>
      <w:tr>
        <w:trPr>
          <w:cantSplit w:val="true"/>
        </w:trPr>
        <w:tc>
          <w:tcPr>
            <w:tcW w:type="dxa" w:w="17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Administrador</w:t>
            </w:r>
          </w:p>
        </w:tc>
        <w:tc>
          <w:tcPr>
            <w:tcW w:type="dxa" w:w="458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Operación general, usuarios y módulos.</w:t>
            </w:r>
          </w:p>
        </w:tc>
        <w:tc>
          <w:tcPr>
            <w:tcW w:type="dxa" w:w="303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Empresa o sucursales asignadas.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Cajero</w:t>
            </w:r>
          </w:p>
        </w:tc>
        <w:tc>
          <w:tcPr>
            <w:tcW w:type="dxa" w:w="45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Apertura, venta, cobro, comprobantes y cierre.</w:t>
            </w:r>
          </w:p>
        </w:tc>
        <w:tc>
          <w:tcPr>
            <w:tcW w:type="dxa" w:w="30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Solo Caja &amp; POS.</w:t>
            </w:r>
          </w:p>
        </w:tc>
      </w:tr>
      <w:tr>
        <w:trPr>
          <w:cantSplit w:val="true"/>
        </w:trPr>
        <w:tc>
          <w:tcPr>
            <w:tcW w:type="dxa" w:w="17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Bodega / Operaciones</w:t>
            </w:r>
          </w:p>
        </w:tc>
        <w:tc>
          <w:tcPr>
            <w:tcW w:type="dxa" w:w="458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Inventario, transferencias y recepción.</w:t>
            </w:r>
          </w:p>
        </w:tc>
        <w:tc>
          <w:tcPr>
            <w:tcW w:type="dxa" w:w="303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Sucursales asignadas.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Compras</w:t>
            </w:r>
          </w:p>
        </w:tc>
        <w:tc>
          <w:tcPr>
            <w:tcW w:type="dxa" w:w="45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Proveedores, órdenes y recepciones.</w:t>
            </w:r>
          </w:p>
        </w:tc>
        <w:tc>
          <w:tcPr>
            <w:tcW w:type="dxa" w:w="30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Empresa o sucursales.</w:t>
            </w:r>
          </w:p>
        </w:tc>
      </w:tr>
      <w:tr>
        <w:trPr>
          <w:cantSplit w:val="true"/>
        </w:trPr>
        <w:tc>
          <w:tcPr>
            <w:tcW w:type="dxa" w:w="17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Cartera / Contabilidad</w:t>
            </w:r>
          </w:p>
        </w:tc>
        <w:tc>
          <w:tcPr>
            <w:tcW w:type="dxa" w:w="458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Cobros, pagos, conciliación y revisión.</w:t>
            </w:r>
          </w:p>
        </w:tc>
        <w:tc>
          <w:tcPr>
            <w:tcW w:type="dxa" w:w="303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Empresa completa según permiso.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Auditor</w:t>
            </w:r>
          </w:p>
        </w:tc>
        <w:tc>
          <w:tcPr>
            <w:tcW w:type="dxa" w:w="45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Consulta de evidencia sin alterar operaciones.</w:t>
            </w:r>
          </w:p>
        </w:tc>
        <w:tc>
          <w:tcPr>
            <w:tcW w:type="dxa" w:w="30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Empresa completa.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AF8F4"/>
            <w:tcBorders>
              <w:start w:val="single" w:sz="24" w:color="2FB498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137C68"/>
                <w:sz w:val="19"/>
              </w:rPr>
              <w:t xml:space="preserve">CAJERO  </w:t>
            </w:r>
            <w:r>
              <w:rPr>
                <w:rFonts w:ascii="Calibri" w:hAnsi="Calibri"/>
                <w:color w:val="137C68"/>
                <w:sz w:val="19"/>
              </w:rPr>
              <w:t>Un usuario de caja ve únicamente el punto de venta y los datos mínimos necesarios para cobrar. Los usuarios con permisos superiores pueden consultar inventario y otras áreas.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Aislamiento multiempresa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Productos, impuestos, clientes, cuentas bancarias y resoluciones pertenecen a una empresa.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Una caja compartida puede mostrar catálogos autorizados de varias empresas.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Un cobro agrupado se divide en ventas y documentos separados por empresa vendedora.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Las transferencias registran la cuenta bancaria receptora de la empresa correcta.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 auditoría conserva quién hizo la operación, cuándo, desde qué empresa y con qué resultado.</w:t>
      </w: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03 · PUESTA EN MARCHA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Configurar una empresa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El alta guiada crea una base operativa para empezar: empresa, sucursal principal, bodega, caja e impuestos iniciales. Después deben revisarse los datos legales y operativos.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Crear la empresa con razón social, identificación y datos de contacto.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Revisar el perfil tributario: tipo de documento, responsabilidades, impuestos y tipo de comprobante.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Crear o ajustar sucursales, direcciones y responsables.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Definir bodegas de abastecimiento y ubicaciones de exhibición.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Configurar caja, usuarios autorizados y cuentas bancarias.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Crear categorías, marcas, impuestos y productos.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Cargar existencias mediante recepción, transferencia o ajuste inicial justificado.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Si factura electrónicamente, configurar Factus primero en ambiente TEST.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6E5"/>
            <w:tcBorders>
              <w:start w:val="single" w:sz="24" w:color="F0B429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9A6200"/>
                <w:sz w:val="19"/>
              </w:rPr>
              <w:t xml:space="preserve">CRATIVE  </w:t>
            </w:r>
            <w:r>
              <w:rPr>
                <w:rFonts w:ascii="Calibri" w:hAnsi="Calibri"/>
                <w:color w:val="9A6200"/>
                <w:sz w:val="19"/>
              </w:rPr>
              <w:t>El escenario actual de Crative usa comprobante interno y productos al 0 %. Su tratamiento tributario debe ser confirmado por el contador; ser persona natural no determina por sí solo todas las obligaciones fiscales.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Dashboard ejecutivo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El tablero resume el estado de la empresa activa. Sirve para decidir, no para reemplazar los módulos de detalle.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4550"/>
        <w:gridCol w:w="2960"/>
      </w:tblGrid>
      <w:tr>
        <w:trPr>
          <w:tblHeader w:val="true"/>
          <w:cantSplit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Qué representa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Dónde se revisa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Ventas del día y mes</w:t>
            </w:r>
          </w:p>
        </w:tc>
        <w:tc>
          <w:tcPr>
            <w:tcW w:type="dxa" w:w="4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Ingresos y transacciones confirmadas.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Caja y Reportes.</w:t>
            </w:r>
          </w:p>
        </w:tc>
      </w:tr>
      <w:tr>
        <w:trPr>
          <w:cantSplit w:val="true"/>
        </w:trPr>
        <w:tc>
          <w:tcPr>
            <w:tcW w:type="dxa" w:w="18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Ticket y margen</w:t>
            </w:r>
          </w:p>
        </w:tc>
        <w:tc>
          <w:tcPr>
            <w:tcW w:type="dxa" w:w="45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Promedio por venta y utilidad bruta estimada.</w:t>
            </w:r>
          </w:p>
        </w:tc>
        <w:tc>
          <w:tcPr>
            <w:tcW w:type="dxa" w:w="29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Reportes.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Por cobrar</w:t>
            </w:r>
          </w:p>
        </w:tc>
        <w:tc>
          <w:tcPr>
            <w:tcW w:type="dxa" w:w="4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Facturas pendientes y vencidas.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Cartera.</w:t>
            </w:r>
          </w:p>
        </w:tc>
      </w:tr>
      <w:tr>
        <w:trPr>
          <w:cantSplit w:val="true"/>
        </w:trPr>
        <w:tc>
          <w:tcPr>
            <w:tcW w:type="dxa" w:w="18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Por pagar</w:t>
            </w:r>
          </w:p>
        </w:tc>
        <w:tc>
          <w:tcPr>
            <w:tcW w:type="dxa" w:w="45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Obligaciones próximas y vencidas.</w:t>
            </w:r>
          </w:p>
        </w:tc>
        <w:tc>
          <w:tcPr>
            <w:tcW w:type="dxa" w:w="29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Cuentas por pagar.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Valor de inventario</w:t>
            </w:r>
          </w:p>
        </w:tc>
        <w:tc>
          <w:tcPr>
            <w:tcW w:type="dxa" w:w="4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Existencias valorizadas al costo.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Inventario.</w:t>
            </w:r>
          </w:p>
        </w:tc>
      </w:tr>
      <w:tr>
        <w:trPr>
          <w:cantSplit w:val="true"/>
        </w:trPr>
        <w:tc>
          <w:tcPr>
            <w:tcW w:type="dxa" w:w="18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Stock bajo</w:t>
            </w:r>
          </w:p>
        </w:tc>
        <w:tc>
          <w:tcPr>
            <w:tcW w:type="dxa" w:w="45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Productos bajo el mínimo configurado.</w:t>
            </w:r>
          </w:p>
        </w:tc>
        <w:tc>
          <w:tcPr>
            <w:tcW w:type="dxa" w:w="29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Reposición.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Flujo proyectado</w:t>
            </w:r>
          </w:p>
        </w:tc>
        <w:tc>
          <w:tcPr>
            <w:tcW w:type="dxa" w:w="4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Caja + cobros estimados − pagos estimados.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Dashboard financiero.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7FAFD"/>
            <w:tcBorders>
              <w:start w:val="single" w:sz="24" w:color="21C9E8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81447"/>
                <w:sz w:val="19"/>
              </w:rPr>
              <w:t xml:space="preserve">LECTURA CORRECTA  </w:t>
            </w:r>
            <w:r>
              <w:rPr>
                <w:rFonts w:ascii="Calibri" w:hAnsi="Calibri"/>
                <w:color w:val="081447"/>
                <w:sz w:val="19"/>
              </w:rPr>
              <w:t>Una alerta del dashboard conduce al módulo donde se encuentra la evidencia y la acción correspondiente.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05 · CATÁLOGO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Productos, precios e impuestos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El producto pertenece al catálogo de una empresa. Allí viven su identificación, clasificación, costo, precio, tratamiento tributario y fotografía.</w:t>
      </w:r>
    </w:p>
    <w:p>
      <w:pPr>
        <w:pStyle w:val="Heading2"/>
      </w:pPr>
      <w:r>
        <w:t>Configuración de un producto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Seleccionar la empresa propietaria del catálogo.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Crear previamente la categoría y la marca cuando apliquen.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Registrar nombre, SKU o código, costo y precio de venta.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Asignar el impuesto validado para esa empresa.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Adjuntar una imagen JPG, PNG o WEBP de hasta 2 MB.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Definir mínimos, máximos y disponibilidad en las ubicaciones correspondientes.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6E5"/>
            <w:tcBorders>
              <w:start w:val="single" w:sz="24" w:color="F0B429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9A6200"/>
                <w:sz w:val="19"/>
              </w:rPr>
              <w:t xml:space="preserve">EXISTENCIA  </w:t>
            </w:r>
            <w:r>
              <w:rPr>
                <w:rFonts w:ascii="Calibri" w:hAnsi="Calibri"/>
                <w:color w:val="9A6200"/>
                <w:sz w:val="19"/>
              </w:rPr>
              <w:t>Crear un producto no crea unidades. Las cantidades se incorporan mediante compras recibidas, transferencias o un ajuste inicial con motivo.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Impuestos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El tratamiento tributario vive en el producto, no en la bodega.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El historial de una venta conserva el impuesto aplicado en el momento de vender.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Nubixor soporta productos excluidos o al 0 %, pero la clasificación debe validarse por empresa.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Los códigos enviados a Factus provienen de equivalencias configuradas, nunca de ejemplos fijos.</w:t>
      </w:r>
    </w:p>
    <w:p>
      <w:pPr>
        <w:pStyle w:val="Heading2"/>
      </w:pPr>
      <w:r>
        <w:t>Pendientes especializados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100"/>
        <w:gridCol w:w="3260"/>
      </w:tblGrid>
      <w:tr>
        <w:trPr>
          <w:tblHeader w:val="true"/>
          <w:cantSplit w:val="true"/>
        </w:trPr>
        <w:tc>
          <w:tcPr>
            <w:tcW w:type="dxa" w:w="6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3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6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Unidades de compra, almacenamiento y venta</w:t>
            </w:r>
          </w:p>
        </w:tc>
        <w:tc>
          <w:tcPr>
            <w:tcW w:type="dxa" w:w="3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Pendiente de implementación completa.</w:t>
            </w:r>
          </w:p>
        </w:tc>
      </w:tr>
      <w:tr>
        <w:trPr>
          <w:cantSplit w:val="true"/>
        </w:trPr>
        <w:tc>
          <w:tcPr>
            <w:tcW w:type="dxa" w:w="61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Variantes con SKU propio</w:t>
            </w:r>
          </w:p>
        </w:tc>
        <w:tc>
          <w:tcPr>
            <w:tcW w:type="dxa" w:w="32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Pendiente de flujo integral.</w:t>
            </w:r>
          </w:p>
        </w:tc>
      </w:tr>
      <w:tr>
        <w:trPr>
          <w:cantSplit w:val="true"/>
        </w:trPr>
        <w:tc>
          <w:tcPr>
            <w:tcW w:type="dxa" w:w="6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Lotes y vencimientos</w:t>
            </w:r>
          </w:p>
        </w:tc>
        <w:tc>
          <w:tcPr>
            <w:tcW w:type="dxa" w:w="3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Pendiente.</w:t>
            </w:r>
          </w:p>
        </w:tc>
      </w:tr>
      <w:tr>
        <w:trPr>
          <w:cantSplit w:val="true"/>
        </w:trPr>
        <w:tc>
          <w:tcPr>
            <w:tcW w:type="dxa" w:w="61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Números de serie y garantías</w:t>
            </w:r>
          </w:p>
        </w:tc>
        <w:tc>
          <w:tcPr>
            <w:tcW w:type="dxa" w:w="32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Pendiente.</w:t>
            </w:r>
          </w:p>
        </w:tc>
      </w:tr>
      <w:tr>
        <w:trPr>
          <w:cantSplit w:val="true"/>
        </w:trPr>
        <w:tc>
          <w:tcPr>
            <w:tcW w:type="dxa" w:w="6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Etiquetas y códigos de barras imprimibles</w:t>
            </w:r>
          </w:p>
        </w:tc>
        <w:tc>
          <w:tcPr>
            <w:tcW w:type="dxa" w:w="3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Pendiente.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06 · INVENTARIO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Bodega, exhibición y trazabilidad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Nubixor separa el inventario almacenado del inventario disponible en exhibición. La caja descuenta desde una ubicación de exhibición autorizada, mientras la bodega conserva el respaldo.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01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02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Bodega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03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Traslado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04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Exhibición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05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Venta</w:t>
            </w:r>
          </w:p>
        </w:tc>
      </w:tr>
    </w:tbl>
    <w:p/>
    <w:p>
      <w:pPr>
        <w:pStyle w:val="Heading2"/>
      </w:pPr>
      <w:r>
        <w:t>Funciones disponibles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Existencias consolidadas por empresa, sucursal, bodega y producto.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Valor al costo y disponibilidad operativa.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Kardex reciente con entradas, salidas, responsables y referencias.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Transferencias transaccionales entre ubicaciones.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Reposición de exhibición según mínimo y máximo.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Ajustes manuales con motivo obligatorio.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Averías, cuarentena, devoluciones y otras novedades.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Órdenes de transferencia pendientes de aceptación.</w:t>
      </w:r>
    </w:p>
    <w:p>
      <w:pPr>
        <w:pStyle w:val="Heading2"/>
      </w:pPr>
      <w:r>
        <w:t>Conteo físico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Programar una jornada de conteo para una bodega.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Iniciar el conteo y registrar cantidades físicas.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Enviar la toma para revisión.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Completar el conteo; el sistema registra diferencias y movimientos de ajuste.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AF8F4"/>
            <w:tcBorders>
              <w:start w:val="single" w:sz="24" w:color="2FB498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137C68"/>
                <w:sz w:val="19"/>
              </w:rPr>
              <w:t xml:space="preserve">REGLA DE CONTROL  </w:t>
            </w:r>
            <w:r>
              <w:rPr>
                <w:rFonts w:ascii="Calibri" w:hAnsi="Calibri"/>
                <w:color w:val="137C68"/>
                <w:sz w:val="19"/>
              </w:rPr>
              <w:t>El conteo físico aparece únicamente cuando se programa una toma. No debe utilizarse como formulario cotidiano para aumentar o disminuir existencias.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07 · ABASTECIMIENTO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Compras y cuentas por pagar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El flujo de abastecimiento conecta proveedor, orden, recepción, inventario, costo y obligación.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01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02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03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Recepción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04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Inventario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05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Obligación</w:t>
            </w:r>
          </w:p>
        </w:tc>
      </w:tr>
    </w:tbl>
    <w:p/>
    <w:p>
      <w:pPr>
        <w:pStyle w:val="Heading2"/>
      </w:pPr>
      <w:r>
        <w:t>Compras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Directorio de proveedores con datos y condiciones de pago.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Órdenes con productos, cantidades, costos, impuestos y fechas.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Recepciones parciales o totales.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Actualización transaccional de existencias, kardex y costo promedio.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Seguimiento de unidades pendientes de recibir.</w:t>
      </w:r>
    </w:p>
    <w:p>
      <w:pPr>
        <w:pStyle w:val="Heading2"/>
      </w:pPr>
      <w:r>
        <w:t>Cuentas por pagar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Obligaciones originadas en compras recibidas o registradas manualmente.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Fechas de emisión y vencimiento.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Pagos parciales o totales con historial.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Clasificación por edades y proveedor.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Soporte para comparación entre orden, recepción y factura.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7FAFD"/>
            <w:tcBorders>
              <w:start w:val="single" w:sz="24" w:color="21C9E8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81447"/>
                <w:sz w:val="19"/>
              </w:rPr>
              <w:t xml:space="preserve">BUENA PRÁCTICA  </w:t>
            </w:r>
            <w:r>
              <w:rPr>
                <w:rFonts w:ascii="Calibri" w:hAnsi="Calibri"/>
                <w:color w:val="081447"/>
                <w:sz w:val="19"/>
              </w:rPr>
              <w:t>No registrar una factura del proveedor como pagada hasta comprobar el medio, la fecha, la referencia y la cuenta bancaria utilizada.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08 · CAJA Y VENTAS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Punto de venta y cierre de turno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Caja &amp; POS concentra la operación del cajero: abrir turno, seleccionar productos, identificar cliente, cobrar, imprimir y cerrar.</w:t>
      </w:r>
    </w:p>
    <w:p>
      <w:pPr>
        <w:pStyle w:val="Heading2"/>
      </w:pPr>
      <w:r>
        <w:t>Flujo de una venta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Abrir el turno con caja, sucursal y fondo inicial contado.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Buscar o escanear productos disponibles en exhibición.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Seleccionar consumidor final o crear/elegir un cliente.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Confirmar cantidades, precios, descuentos autorizados e impuestos.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Elegir contado o crédito.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Registrar efectivo, tarjeta, transferencia o pago mixto.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Confirmar la venta; Nubixor descuenta inventario y crea documentos separados por empresa.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Imprimir o consultar el comprobante desde el historial.</w:t>
      </w:r>
    </w:p>
    <w:p>
      <w:pPr>
        <w:pStyle w:val="Heading2"/>
      </w:pPr>
      <w:r>
        <w:t>Control de caja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3690"/>
        <w:gridCol w:w="3620"/>
      </w:tblGrid>
      <w:tr>
        <w:trPr>
          <w:tblHeader w:val="true"/>
          <w:cantSplit w:val="true"/>
        </w:trPr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Movimiento</w:t>
            </w:r>
          </w:p>
        </w:tc>
        <w:tc>
          <w:tcPr>
            <w:tcW w:type="dxa" w:w="3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Efecto</w:t>
            </w:r>
          </w:p>
        </w:tc>
        <w:tc>
          <w:tcPr>
            <w:tcW w:type="dxa" w:w="3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Venta en efectivo</w:t>
            </w:r>
          </w:p>
        </w:tc>
        <w:tc>
          <w:tcPr>
            <w:tcW w:type="dxa" w:w="3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Aumenta efectivo esperado.</w:t>
            </w:r>
          </w:p>
        </w:tc>
        <w:tc>
          <w:tcPr>
            <w:tcW w:type="dxa" w:w="3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Venta y comprobante.</w:t>
            </w:r>
          </w:p>
        </w:tc>
      </w:tr>
      <w:tr>
        <w:trPr>
          <w:cantSplit w:val="true"/>
        </w:trPr>
        <w:tc>
          <w:tcPr>
            <w:tcW w:type="dxa" w:w="20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Ingreso manual</w:t>
            </w:r>
          </w:p>
        </w:tc>
        <w:tc>
          <w:tcPr>
            <w:tcW w:type="dxa" w:w="369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Aumenta caja sin ser venta.</w:t>
            </w:r>
          </w:p>
        </w:tc>
        <w:tc>
          <w:tcPr>
            <w:tcW w:type="dxa" w:w="362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Motivo y responsable.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Gasto menor</w:t>
            </w:r>
          </w:p>
        </w:tc>
        <w:tc>
          <w:tcPr>
            <w:tcW w:type="dxa" w:w="3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Disminuye caja.</w:t>
            </w:r>
          </w:p>
        </w:tc>
        <w:tc>
          <w:tcPr>
            <w:tcW w:type="dxa" w:w="3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Concepto y valor.</w:t>
            </w:r>
          </w:p>
        </w:tc>
      </w:tr>
      <w:tr>
        <w:trPr>
          <w:cantSplit w:val="true"/>
        </w:trPr>
        <w:tc>
          <w:tcPr>
            <w:tcW w:type="dxa" w:w="20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Retiro</w:t>
            </w:r>
          </w:p>
        </w:tc>
        <w:tc>
          <w:tcPr>
            <w:tcW w:type="dxa" w:w="369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Disminuye efectivo disponible.</w:t>
            </w:r>
          </w:p>
        </w:tc>
        <w:tc>
          <w:tcPr>
            <w:tcW w:type="dxa" w:w="362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Motivo y responsable.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Cierre</w:t>
            </w:r>
          </w:p>
        </w:tc>
        <w:tc>
          <w:tcPr>
            <w:tcW w:type="dxa" w:w="369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Compara contado contra esperado.</w:t>
            </w:r>
          </w:p>
        </w:tc>
        <w:tc>
          <w:tcPr>
            <w:tcW w:type="dxa" w:w="3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Arqueo y diferencia.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</w:pPr>
      <w:r>
        <w:t>Arqueo y cierre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Conteo por denominaciones.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Separación entre efectivo, tarjeta y transferencia.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Cálculo de diferencia contra efectivo esperado.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Justificación obligatoria cuando existe diferencia.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Comprobante e historial de turnos.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2ECFF"/>
            <w:tcBorders>
              <w:start w:val="single" w:sz="24" w:color="8B4DFF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81447"/>
                <w:sz w:val="19"/>
              </w:rPr>
              <w:t xml:space="preserve">VENTA MULTIEMPRESA  </w:t>
            </w:r>
            <w:r>
              <w:rPr>
                <w:rFonts w:ascii="Calibri" w:hAnsi="Calibri"/>
                <w:color w:val="081447"/>
                <w:sz w:val="19"/>
              </w:rPr>
              <w:t>La caja puede mostrar productos de varias empresas autorizadas. Nubixor realiza el cobro operativo y mantiene ventas, inventarios, comprobantes, impuestos y pagos separados por empresa.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09 · CORRECCIONES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Devoluciones y notas crédito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La devolución no modifica la venta original. Crea una operación inversa trazable que devuelve dinero, reintegra inventario y conserva la relación fiscal.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01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Buscar venta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02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Elegir líneas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03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Reembolsar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1E42B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04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Reintegrar</w:t>
            </w:r>
          </w:p>
        </w:tc>
        <w:tc>
          <w:tcPr>
            <w:tcW w:type="dxa" w:w="1872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  <w:shd w:fill="08144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21C9E8"/>
                <w:sz w:val="16"/>
              </w:rPr>
              <w:t>05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Auditar</w:t>
            </w:r>
          </w:p>
        </w:tc>
      </w:tr>
    </w:tbl>
    <w:p/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Permite devoluciones parciales sucesivas o devolución total.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Impide devolver más unidades de las vendidas.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El inventario regresa a la ubicación histórica de salida.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El efectivo genera una salida de caja.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Tarjeta y transferencia exigen referencia; transferencia exige cuenta de la misma empresa.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Una venta electrónica crea una nota crédito pendiente con causal validada.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 operación deja asiento contable y evento de auditoría.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CEBF2"/>
            <w:tcBorders>
              <w:start w:val="single" w:sz="24" w:color="DC3AD7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A52A5D"/>
                <w:sz w:val="19"/>
              </w:rPr>
              <w:t xml:space="preserve">LIMITACIÓN VIGENTE  </w:t>
            </w:r>
            <w:r>
              <w:rPr>
                <w:rFonts w:ascii="Calibri" w:hAnsi="Calibri"/>
                <w:color w:val="A52A5D"/>
                <w:sz w:val="19"/>
              </w:rPr>
              <w:t>Las devoluciones de ventas a crédito todavía requieren completar el ajuste automático sobre Cuentas por cobrar. El sistema las bloquea para evitar corromper la cartera.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Cartera y cuentas por cobrar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Las ventas a crédito generan una factura en cartera con cliente, vencimiento, saldo e historial.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Clientes y consumidor final dentro del POS.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Facturas manuales o originadas en ventas a crédito.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Abonos parciales y pagos completos.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Saldo pendiente y documentos vencidos o próximos a vencer.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Consulta de detalle e historial de pagos.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Resumen por edades para seguimiento de cobranza.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7FAFD"/>
            <w:tcBorders>
              <w:start w:val="single" w:sz="24" w:color="21C9E8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81447"/>
                <w:sz w:val="19"/>
              </w:rPr>
              <w:t xml:space="preserve">CONTROL  </w:t>
            </w:r>
            <w:r>
              <w:rPr>
                <w:rFonts w:ascii="Calibri" w:hAnsi="Calibri"/>
                <w:color w:val="081447"/>
                <w:sz w:val="19"/>
              </w:rPr>
              <w:t>Un pago de cartera debe indicar valor, fecha, medio y referencia. Si ingresa por transferencia, debe asociarse a la cuenta bancaria receptora correcta.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11 · FACTURACIÓN ELECTRÓNICA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Integración con Factus API V2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Nubixor incorpora un conector desacoplado por empresa. Cada empresa posee su propia cuenta, ambiente, credenciales, rangos, resoluciones, equivalencias y documentos.</w:t>
      </w:r>
    </w:p>
    <w:p>
      <w:pPr>
        <w:pStyle w:val="Heading2"/>
      </w:pPr>
      <w:r>
        <w:t>Capacidades incorporadas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Credenciales cifradas y ambiente TEST o PRODUCTION separado por empresa.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OAuth, renovación de token y control preventivo de solicitudes.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Consulta de rangos reales asociados a la cuenta Factus.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Cola idempotente para evitar duplicados.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Creación y validación de facturas.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Soporte para contado, crédito, pagos mixtos e impuesto excluido.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Registro de número, CUFE, QR, respuesta y errores.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Descarga y almacenamiento privado de PDF y XML con hash SHA-256.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Adaptadores para notas crédito y débito.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Reintentos para respuestas transitorias y trazabilidad de intentos.</w:t>
      </w:r>
    </w:p>
    <w:p>
      <w:pPr>
        <w:pStyle w:val="Heading2"/>
      </w:pPr>
      <w:r>
        <w:t>Preparar una empresa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Configurar la clave de cifrado del servidor.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Registrar credenciales reales de la empresa en ambiente TEST.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Probar la conexión.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Consultar y seleccionar un rango real de la cuenta.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Validar equivalencias DIAN de municipios, unidades, impuestos y medios de pago.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Completar los datos electrónicos de clientes y productos.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Ejecutar pruebas controladas de aceptación, rechazo, crédito y nota crédito.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Solicitar aprobación del contador antes de activar PRODUCTION.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6E5"/>
            <w:tcBorders>
              <w:start w:val="single" w:sz="24" w:color="F0B429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9A6200"/>
                <w:sz w:val="19"/>
              </w:rPr>
              <w:t xml:space="preserve">ESTADO REAL  </w:t>
            </w:r>
            <w:r>
              <w:rPr>
                <w:rFonts w:ascii="Calibri" w:hAnsi="Calibri"/>
                <w:color w:val="9A6200"/>
                <w:sz w:val="19"/>
              </w:rPr>
              <w:t>El conector existe, pero la facturación legal no queda habilitada hasta registrar credenciales reales, resolución vigente, rangos, equivalencias y aprobación tributaria de cada empresa.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12 · CONTROL FINANCIERO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Contabilidad, conciliación y auditoría</w:t>
      </w:r>
    </w:p>
    <w:p>
      <w:pPr>
        <w:spacing w:before="0" w:after="120" w:line="300" w:lineRule="auto"/>
      </w:pPr>
      <w:r>
        <w:rPr>
          <w:rFonts w:ascii="Calibri" w:hAnsi="Calibri"/>
          <w:color w:val="101B4F"/>
          <w:sz w:val="22"/>
        </w:rPr>
        <w:t>Las operaciones relevantes generan evidencia contable y de auditoría. El objetivo es poder explicar qué ocurrió sin alterar documentos históricos.</w:t>
      </w:r>
    </w:p>
    <w:p>
      <w:pPr>
        <w:pStyle w:val="Heading2"/>
      </w:pPr>
      <w:r>
        <w:t>Contabilidad disponible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Asientos automáticos para ventas, recaudos, compras, pagos y devoluciones habilitadas.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Libro contable y comprobantes imprimibles.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Balance de prueba y auxiliares por cuenta.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Conciliación bancaria con importación y asociación de movimientos.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Períodos contables y bloqueo definitivo.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Expediente mensual para contador y auditor.</w:t>
      </w:r>
    </w:p>
    <w:p>
      <w:pPr>
        <w:pStyle w:val="Heading2"/>
      </w:pPr>
      <w:r>
        <w:t>Auditoría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Evento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Usuario, empresa, módulo, acción, fecha y resultado.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Cambio</w:t>
            </w:r>
          </w:p>
        </w:tc>
        <w:tc>
          <w:tcPr>
            <w:tcW w:type="dxa" w:w="71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Valores anteriores y posteriores cuando aplica.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Documento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Referencia a venta, pago, movimiento o asiento.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Integridad</w:t>
            </w:r>
          </w:p>
        </w:tc>
        <w:tc>
          <w:tcPr>
            <w:tcW w:type="dxa" w:w="71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Sellos y hashes para detectar alteraciones.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Exportación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CSV, evidencia JSON y paquete mensual.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Revisión</w:t>
            </w:r>
          </w:p>
        </w:tc>
        <w:tc>
          <w:tcPr>
            <w:tcW w:type="dxa" w:w="716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Registro de validaciones del contador.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AF8F4"/>
            <w:tcBorders>
              <w:start w:val="single" w:sz="24" w:color="2FB498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137C68"/>
                <w:sz w:val="19"/>
              </w:rPr>
              <w:t xml:space="preserve">PRINCIPIO  </w:t>
            </w:r>
            <w:r>
              <w:rPr>
                <w:rFonts w:ascii="Calibri" w:hAnsi="Calibri"/>
                <w:color w:val="137C68"/>
                <w:sz w:val="19"/>
              </w:rPr>
              <w:t>Las ventas, facturas y asientos no se borran para corregir errores. Se crean devoluciones, notas, reversos o ajustes enlazados.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13 · INFORMACIÓN Y CONTINUIDAD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Reportes, archivos y copias</w:t>
      </w:r>
    </w:p>
    <w:p>
      <w:pPr>
        <w:pStyle w:val="Heading2"/>
      </w:pPr>
      <w:r>
        <w:t>Reportes operativos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Ventas por producto, categoría, caja, sucursal y medio de pago.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Rentabilidad y margen bruto.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Inventario, valorización y rotación.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Compras y desempeño por proveedor.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Cartera y cuentas por pagar por edades.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Filtros por fecha y sucursal, búsqueda, paginación y exportación CSV.</w:t>
      </w:r>
    </w:p>
    <w:p>
      <w:pPr>
        <w:pStyle w:val="Heading2"/>
      </w:pPr>
      <w:r>
        <w:t>Archivos protegidos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Imágenes y documentos se guardan con nombres aleatorios fuera del directorio público.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Cada archivo conserva empresa, responsable, fecha, tipo y hash SHA-256.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El acceso exige una sesión con membresía autorizada.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PDF, XML y soportes fiscales deben formar parte de la copia de seguridad.</w:t>
      </w:r>
    </w:p>
    <w:p>
      <w:pPr>
        <w:pStyle w:val="Heading2"/>
      </w:pPr>
      <w:r>
        <w:t>Copias de seguridad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 copia automática incluye PostgreSQL y almacenamiento privado.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Se cifra con AES-256-GCM y genera un hash SHA-256.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La retención predeterminada es de 30 días.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Una copia no se considera confiable hasta ensayar su restauración en una base separada.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6E5"/>
            <w:tcBorders>
              <w:start w:val="single" w:sz="24" w:color="F0B429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9A6200"/>
                <w:sz w:val="19"/>
              </w:rPr>
              <w:t xml:space="preserve">PRODUCCIÓN  </w:t>
            </w:r>
            <w:r>
              <w:rPr>
                <w:rFonts w:ascii="Calibri" w:hAnsi="Calibri"/>
                <w:color w:val="9A6200"/>
                <w:sz w:val="19"/>
              </w:rPr>
              <w:t>Las copias deben enviarse también a un destino externo. Una copia almacenada únicamente en el mismo servidor no protege contra pérdida total del equipo.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14 · OPERACIÓN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Rutina recomendada del negocio</w:t>
      </w:r>
    </w:p>
    <w:p>
      <w:pPr>
        <w:pStyle w:val="Heading2"/>
      </w:pPr>
      <w:r>
        <w:t>Inicio del día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Comprobar que Nubixor, PostgreSQL y Redis estén disponibles.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Revisar alertas del dashboard.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Confirmar empresa, sucursal, usuario y caja.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Abrir turno contando el fondo inicial.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Revisar reposición de exhibición y productos sin disponibilidad.</w:t>
      </w:r>
    </w:p>
    <w:p>
      <w:pPr>
        <w:pStyle w:val="Heading2"/>
      </w:pPr>
      <w:r>
        <w:t>Durante la operación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Registrar cada venta con su medio de pago real.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Exigir referencia y cuenta receptora en transferencias.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Registrar ingresos, gastos y retiros cuando ocurren.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Recibir compras contra su orden y documento.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Usar devoluciones o notas para corregir, sin editar la operación original.</w:t>
      </w:r>
    </w:p>
    <w:p>
      <w:pPr>
        <w:pStyle w:val="Heading2"/>
      </w:pPr>
      <w:r>
        <w:t>Cierre del día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Contar el efectivo por denominaciones.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Explicar cualquier diferencia.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Cerrar el turno y conservar el comprobante.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Comparar transferencias y tarjetas contra sus cuentas.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Revisar ventas, inventario, cartera, obligaciones y documentos rechazados.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color w:val="101B4F"/>
          <w:sz w:val="21"/>
        </w:rPr>
        <w:t>Confirmar que la copia de seguridad fue generada.</w:t>
      </w:r>
    </w:p>
    <w:p>
      <w:pPr>
        <w:pStyle w:val="Heading1"/>
      </w:pPr>
      <w:r>
        <w:t>Qué falta antes de producción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4040"/>
        <w:gridCol w:w="4270"/>
      </w:tblGrid>
      <w:tr>
        <w:trPr>
          <w:tblHeader w:val="true"/>
          <w:cantSplit w:val="true"/>
        </w:trP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Trabajo pendiente</w:t>
            </w:r>
          </w:p>
        </w:tc>
        <w:tc>
          <w:tcPr>
            <w:tcW w:type="dxa" w:w="42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Condición de cierre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1</w:t>
            </w:r>
          </w:p>
        </w:tc>
        <w:tc>
          <w:tcPr>
            <w:tcW w:type="dxa" w:w="4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Devolución de ventas a crédito.</w:t>
            </w:r>
          </w:p>
        </w:tc>
        <w:tc>
          <w:tcPr>
            <w:tcW w:type="dxa" w:w="42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Ajuste correcto de cartera y nota crédito.</w:t>
            </w:r>
          </w:p>
        </w:tc>
      </w:tr>
      <w:tr>
        <w:trPr>
          <w:cantSplit w:val="true"/>
        </w:trPr>
        <w:tc>
          <w:tcPr>
            <w:tcW w:type="dxa" w:w="10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2</w:t>
            </w:r>
          </w:p>
        </w:tc>
        <w:tc>
          <w:tcPr>
            <w:tcW w:type="dxa" w:w="404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Factus real por empresa.</w:t>
            </w:r>
          </w:p>
        </w:tc>
        <w:tc>
          <w:tcPr>
            <w:tcW w:type="dxa" w:w="427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Credenciales, rango, resolución y equivalencias.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3</w:t>
            </w:r>
          </w:p>
        </w:tc>
        <w:tc>
          <w:tcPr>
            <w:tcW w:type="dxa" w:w="4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Pruebas integrales.</w:t>
            </w:r>
          </w:p>
        </w:tc>
        <w:tc>
          <w:tcPr>
            <w:tcW w:type="dxa" w:w="42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Venta, concurrencia, cierre, conciliación y restauración.</w:t>
            </w:r>
          </w:p>
        </w:tc>
      </w:tr>
      <w:tr>
        <w:trPr>
          <w:cantSplit w:val="true"/>
        </w:trPr>
        <w:tc>
          <w:tcPr>
            <w:tcW w:type="dxa" w:w="10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4</w:t>
            </w:r>
          </w:p>
        </w:tc>
        <w:tc>
          <w:tcPr>
            <w:tcW w:type="dxa" w:w="404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Inventario especializado.</w:t>
            </w:r>
          </w:p>
        </w:tc>
        <w:tc>
          <w:tcPr>
            <w:tcW w:type="dxa" w:w="427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Unidades, variantes, lotes, series y garantías.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5</w:t>
            </w:r>
          </w:p>
        </w:tc>
        <w:tc>
          <w:tcPr>
            <w:tcW w:type="dxa" w:w="4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Infraestructura.</w:t>
            </w:r>
          </w:p>
        </w:tc>
        <w:tc>
          <w:tcPr>
            <w:tcW w:type="dxa" w:w="427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Dominio, HTTPS, correo y copia externa.</w:t>
            </w:r>
          </w:p>
        </w:tc>
      </w:tr>
      <w:tr>
        <w:trPr>
          <w:cantSplit w:val="true"/>
        </w:trPr>
        <w:tc>
          <w:tcPr>
            <w:tcW w:type="dxa" w:w="105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6</w:t>
            </w:r>
          </w:p>
        </w:tc>
        <w:tc>
          <w:tcPr>
            <w:tcW w:type="dxa" w:w="404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Validación tributaria.</w:t>
            </w:r>
          </w:p>
        </w:tc>
        <w:tc>
          <w:tcPr>
            <w:tcW w:type="dxa" w:w="4270"/>
            <w:shd w:fill="F3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8"/>
              </w:rPr>
              <w:t>Aprobación independiente del contador.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2ECFF"/>
            <w:tcBorders>
              <w:start w:val="single" w:sz="24" w:color="8B4DFF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081447"/>
                <w:sz w:val="19"/>
              </w:rPr>
              <w:t xml:space="preserve">CONCLUSIÓN  </w:t>
            </w:r>
            <w:r>
              <w:rPr>
                <w:rFonts w:ascii="Calibri" w:hAnsi="Calibri"/>
                <w:color w:val="081447"/>
                <w:sz w:val="19"/>
              </w:rPr>
              <w:t>Nubixor ya puede demostrarse y utilizarse en pruebas controladas. Para operar con dinero y facturación legal debe completarse la habilitación por empresa, las pruebas de extremo a extremo y la aprobación contable.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240" w:lineRule="auto"/>
        <w:jc w:val="left"/>
      </w:pPr>
      <w:r>
        <w:rPr>
          <w:rFonts w:ascii="Calibri" w:hAnsi="Calibri"/>
          <w:b/>
          <w:color w:val="8B4DFF"/>
          <w:sz w:val="18"/>
        </w:rPr>
        <w:t>REFERENCIA RÁPIDA</w:t>
      </w:r>
    </w:p>
    <w:p>
      <w:pPr>
        <w:keepNext/>
        <w:spacing w:before="0" w:after="160" w:line="221" w:lineRule="auto"/>
        <w:jc w:val="left"/>
      </w:pPr>
      <w:r>
        <w:rPr>
          <w:rFonts w:ascii="Avenir Next Condensed" w:hAnsi="Avenir Next Condensed"/>
          <w:b/>
          <w:color w:val="081447"/>
          <w:sz w:val="56"/>
        </w:rPr>
        <w:t>Glosario y soporte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1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0814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Empresa activa</w:t>
            </w:r>
          </w:p>
        </w:tc>
        <w:tc>
          <w:tcPr>
            <w:tcW w:type="dxa" w:w="71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Contexto legal desde el cual se consultan y registran datos.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Sucursal</w:t>
            </w:r>
          </w:p>
        </w:tc>
        <w:tc>
          <w:tcPr>
            <w:tcW w:type="dxa" w:w="716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Punto operativo perteneciente a una empresa.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Bodega</w:t>
            </w:r>
          </w:p>
        </w:tc>
        <w:tc>
          <w:tcPr>
            <w:tcW w:type="dxa" w:w="71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Ubicación física de almacenamiento.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Exhibición</w:t>
            </w:r>
          </w:p>
        </w:tc>
        <w:tc>
          <w:tcPr>
            <w:tcW w:type="dxa" w:w="716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Ubicación desde la cual Caja puede vender.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Kardex</w:t>
            </w:r>
          </w:p>
        </w:tc>
        <w:tc>
          <w:tcPr>
            <w:tcW w:type="dxa" w:w="71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Historial cronológico de entradas y salidas de inventario.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Turno</w:t>
            </w:r>
          </w:p>
        </w:tc>
        <w:tc>
          <w:tcPr>
            <w:tcW w:type="dxa" w:w="716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Período de responsabilidad de un cajero sobre una caja.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Arqueo</w:t>
            </w:r>
          </w:p>
        </w:tc>
        <w:tc>
          <w:tcPr>
            <w:tcW w:type="dxa" w:w="71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Comparación entre dinero contado y dinero esperado.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CUFE</w:t>
            </w:r>
          </w:p>
        </w:tc>
        <w:tc>
          <w:tcPr>
            <w:tcW w:type="dxa" w:w="716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Código Único de Factura Electrónica asignado al documento.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Nota crédito</w:t>
            </w:r>
          </w:p>
        </w:tc>
        <w:tc>
          <w:tcPr>
            <w:tcW w:type="dxa" w:w="71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Documento que disminuye o reversa una factura.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Idempotencia</w:t>
            </w:r>
          </w:p>
        </w:tc>
        <w:tc>
          <w:tcPr>
            <w:tcW w:type="dxa" w:w="716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Protección que evita repetir una operación al reenviarla.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Conciliación</w:t>
            </w:r>
          </w:p>
        </w:tc>
        <w:tc>
          <w:tcPr>
            <w:tcW w:type="dxa" w:w="71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Comparación entre movimientos del sistema y del banco.</w:t>
            </w:r>
          </w:p>
        </w:tc>
      </w:tr>
      <w:tr>
        <w:trPr>
          <w:cantSplit w:val="true"/>
        </w:trPr>
        <w:tc>
          <w:tcPr>
            <w:tcW w:type="dxa" w:w="220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Expediente mensual</w:t>
            </w:r>
          </w:p>
        </w:tc>
        <w:tc>
          <w:tcPr>
            <w:tcW w:type="dxa" w:w="7160"/>
            <w:shd w:fill="F3F6FF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01B4F"/>
                <w:sz w:val="17"/>
              </w:rPr>
              <w:t>Paquete de evidencia para contador o auditor.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</w:pPr>
      <w:r>
        <w:t>Comprobaciones técnicas</w:t>
      </w:r>
    </w:p>
    <w:p>
      <w:pPr>
        <w:numPr>
          <w:ilvl w:val="0"/>
          <w:numId w:val="20"/>
        </w:numPr>
        <w:spacing w:before="0" w:after="20" w:line="264" w:lineRule="auto"/>
      </w:pPr>
      <w:r>
        <w:rPr>
          <w:rFonts w:ascii="Calibri" w:hAnsi="Calibri"/>
          <w:color w:val="101B4F"/>
          <w:sz w:val="18"/>
        </w:rPr>
        <w:t>Aplicación local: http://localhost:4100</w:t>
      </w:r>
    </w:p>
    <w:p>
      <w:pPr>
        <w:numPr>
          <w:ilvl w:val="0"/>
          <w:numId w:val="20"/>
        </w:numPr>
        <w:spacing w:before="0" w:after="20" w:line="264" w:lineRule="auto"/>
      </w:pPr>
      <w:r>
        <w:rPr>
          <w:rFonts w:ascii="Calibri" w:hAnsi="Calibri"/>
          <w:color w:val="101B4F"/>
          <w:sz w:val="18"/>
        </w:rPr>
        <w:t>Salud: /api/health · Dependencias: /api/health/ready</w:t>
      </w:r>
    </w:p>
    <w:p>
      <w:pPr>
        <w:numPr>
          <w:ilvl w:val="0"/>
          <w:numId w:val="20"/>
        </w:numPr>
        <w:spacing w:before="0" w:after="20" w:line="264" w:lineRule="auto"/>
      </w:pPr>
      <w:r>
        <w:rPr>
          <w:rFonts w:ascii="Calibri" w:hAnsi="Calibri"/>
          <w:color w:val="101B4F"/>
          <w:sz w:val="18"/>
        </w:rPr>
        <w:t>Descripción y cierre operativo: README.md · docs/PLAN_CIERRE_OPERATIVO.md</w:t>
      </w:r>
    </w:p>
    <w:p>
      <w:pPr>
        <w:numPr>
          <w:ilvl w:val="0"/>
          <w:numId w:val="20"/>
        </w:numPr>
        <w:spacing w:before="0" w:after="20" w:line="264" w:lineRule="auto"/>
      </w:pPr>
      <w:r>
        <w:rPr>
          <w:rFonts w:ascii="Calibri" w:hAnsi="Calibri"/>
          <w:color w:val="101B4F"/>
          <w:sz w:val="18"/>
        </w:rPr>
        <w:t>Producción y Factus: docs/PUESTA_EN_PRODUCCION.md · docs/FACTUS_V2.md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687087"/>
        <w:sz w:val="17"/>
      </w:rPr>
      <w:t xml:space="preserve">Nubixor · Julio de 2026   |   </w:t>
    </w:r>
    <w:r>
      <w:rPr>
        <w:rFonts w:ascii="Calibri" w:hAnsi="Calibri"/>
        <w:color w:val="687087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venir Next Condensed" w:hAnsi="Avenir Next Condensed"/>
        <w:b/>
        <w:color w:val="081447"/>
        <w:sz w:val="17"/>
      </w:rPr>
      <w:t>NUBIXOR  /  MANUAL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01B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venir Next Condensed" w:hAnsi="Avenir Next Condensed"/>
      <w:b/>
      <w:bCs/>
      <w:color w:val="1E42B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venir Next Condensed" w:hAnsi="Avenir Next Condensed"/>
      <w:b/>
      <w:bCs/>
      <w:color w:val="1E42B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 Condensed" w:hAnsi="Avenir Next Condensed"/>
      <w:b/>
      <w:bCs/>
      <w:color w:val="0814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y operativo de Nubixor</dc:title>
  <dc:subject>Funcionamiento, módulos, controles y preparación operativa</dc:subject>
  <dc:creator>Nubixor</dc:creator>
  <cp:keywords>Nubixor, ERP, POS, inventario, facturación, auditoría</cp:keywords>
  <dc:description>Documento generado a partir del estado funcional del proyecto Nubixor.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