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CA27F3" w:rsidRDefault="000A7C59" w:rsidP="00B53F24">
      <w:pPr>
        <w:spacing w:line="276" w:lineRule="auto"/>
        <w:jc w:val="center"/>
        <w:rPr>
          <w:rFonts w:ascii="Verdana" w:hAnsi="Verdana"/>
          <w:b/>
          <w:color w:val="2E3482"/>
        </w:rPr>
      </w:pPr>
      <w:r w:rsidRPr="00CA27F3">
        <w:rPr>
          <w:rFonts w:ascii="Verdana" w:hAnsi="Verdana"/>
          <w:b/>
          <w:color w:val="2E3482"/>
        </w:rPr>
        <w:t xml:space="preserve">TAREA </w:t>
      </w:r>
      <w:r w:rsidR="00AC16DB">
        <w:rPr>
          <w:rFonts w:ascii="Verdana" w:hAnsi="Verdana"/>
          <w:b/>
          <w:color w:val="2E3482"/>
        </w:rPr>
        <w:t>1</w:t>
      </w:r>
    </w:p>
    <w:p w:rsidR="009B4A79" w:rsidRDefault="009B4A79" w:rsidP="00B53F24">
      <w:pPr>
        <w:spacing w:line="276" w:lineRule="auto"/>
        <w:jc w:val="both"/>
        <w:rPr>
          <w:rFonts w:ascii="Verdana" w:hAnsi="Verdana"/>
          <w:b/>
          <w:sz w:val="22"/>
          <w:szCs w:val="22"/>
        </w:rPr>
      </w:pPr>
    </w:p>
    <w:p w:rsidR="00B53F24" w:rsidRDefault="0045214C" w:rsidP="00B53F24">
      <w:pPr>
        <w:numPr>
          <w:ilvl w:val="0"/>
          <w:numId w:val="32"/>
        </w:numPr>
        <w:spacing w:line="276" w:lineRule="auto"/>
        <w:jc w:val="both"/>
        <w:rPr>
          <w:rFonts w:ascii="Verdana" w:hAnsi="Verdana"/>
          <w:b/>
          <w:sz w:val="22"/>
          <w:szCs w:val="22"/>
        </w:rPr>
      </w:pPr>
      <w:r>
        <w:rPr>
          <w:rFonts w:ascii="Verdana" w:hAnsi="Verdana"/>
          <w:b/>
          <w:sz w:val="22"/>
          <w:szCs w:val="22"/>
        </w:rPr>
        <w:t>TÍTULO</w:t>
      </w:r>
    </w:p>
    <w:p w:rsidR="00B53F24" w:rsidRDefault="00B53F24" w:rsidP="00B53F24">
      <w:pPr>
        <w:spacing w:line="276" w:lineRule="auto"/>
        <w:ind w:left="720"/>
        <w:jc w:val="both"/>
        <w:rPr>
          <w:rFonts w:ascii="Verdana" w:hAnsi="Verdana"/>
          <w:b/>
          <w:sz w:val="22"/>
          <w:szCs w:val="22"/>
        </w:rPr>
      </w:pPr>
    </w:p>
    <w:p w:rsidR="009B4A79" w:rsidRPr="00B53F24" w:rsidRDefault="00B53F24" w:rsidP="00B53F24">
      <w:pPr>
        <w:spacing w:line="276" w:lineRule="auto"/>
        <w:ind w:left="720"/>
        <w:jc w:val="both"/>
        <w:rPr>
          <w:rFonts w:ascii="Verdana" w:hAnsi="Verdana"/>
          <w:sz w:val="22"/>
          <w:szCs w:val="22"/>
        </w:rPr>
      </w:pPr>
      <w:r w:rsidRPr="00B53F24">
        <w:rPr>
          <w:rFonts w:ascii="Verdana" w:hAnsi="Verdana"/>
          <w:sz w:val="22"/>
          <w:szCs w:val="22"/>
        </w:rPr>
        <w:t>SUBCONSULTAS</w:t>
      </w:r>
    </w:p>
    <w:p w:rsidR="00E15A1A" w:rsidRDefault="00E15A1A" w:rsidP="00B53F24">
      <w:pPr>
        <w:spacing w:line="276" w:lineRule="auto"/>
        <w:jc w:val="both"/>
        <w:rPr>
          <w:rFonts w:ascii="Verdana" w:hAnsi="Verdana"/>
          <w:b/>
          <w:sz w:val="22"/>
          <w:szCs w:val="22"/>
        </w:rPr>
      </w:pPr>
    </w:p>
    <w:p w:rsidR="00CE52CA" w:rsidRDefault="0045214C" w:rsidP="00B53F24">
      <w:pPr>
        <w:numPr>
          <w:ilvl w:val="0"/>
          <w:numId w:val="32"/>
        </w:numPr>
        <w:spacing w:line="276" w:lineRule="auto"/>
        <w:jc w:val="both"/>
        <w:rPr>
          <w:rFonts w:ascii="Verdana" w:hAnsi="Verdana"/>
          <w:b/>
          <w:sz w:val="22"/>
          <w:szCs w:val="22"/>
        </w:rPr>
      </w:pPr>
      <w:r>
        <w:rPr>
          <w:rFonts w:ascii="Verdana" w:hAnsi="Verdana"/>
          <w:b/>
          <w:sz w:val="22"/>
          <w:szCs w:val="22"/>
        </w:rPr>
        <w:t>RESUELVE</w:t>
      </w:r>
      <w:r w:rsidR="00324B9F">
        <w:rPr>
          <w:rFonts w:ascii="Verdana" w:hAnsi="Verdana"/>
          <w:b/>
          <w:sz w:val="22"/>
          <w:szCs w:val="22"/>
        </w:rPr>
        <w:t>:</w:t>
      </w:r>
    </w:p>
    <w:p w:rsidR="009C00CB" w:rsidRPr="0026197E" w:rsidRDefault="009C00CB" w:rsidP="00B53F24">
      <w:pPr>
        <w:pStyle w:val="Prrafodelista"/>
        <w:spacing w:line="276" w:lineRule="auto"/>
        <w:ind w:left="0"/>
        <w:jc w:val="both"/>
        <w:rPr>
          <w:rFonts w:ascii="Verdana" w:hAnsi="Verdana"/>
          <w:b/>
          <w:sz w:val="20"/>
          <w:szCs w:val="20"/>
        </w:rPr>
      </w:pPr>
    </w:p>
    <w:p w:rsidR="009C00CB" w:rsidRPr="009C00CB" w:rsidRDefault="009C00CB" w:rsidP="00B53F24">
      <w:pPr>
        <w:pStyle w:val="Prrafodelista"/>
        <w:numPr>
          <w:ilvl w:val="0"/>
          <w:numId w:val="39"/>
        </w:numPr>
        <w:spacing w:line="276" w:lineRule="auto"/>
        <w:ind w:left="1134"/>
        <w:jc w:val="both"/>
        <w:rPr>
          <w:rFonts w:ascii="Verdana" w:hAnsi="Verdana"/>
          <w:sz w:val="22"/>
          <w:szCs w:val="22"/>
        </w:rPr>
      </w:pPr>
      <w:r w:rsidRPr="009C00CB">
        <w:rPr>
          <w:rFonts w:ascii="Verdana" w:hAnsi="Verdana"/>
          <w:sz w:val="22"/>
          <w:szCs w:val="22"/>
        </w:rPr>
        <w:t>Rellena la tabla adjunta realizando un resumen del contenido de la unidad del tema 5 “Realización de consultas avanzadas”, incluyendo un ejemplo diferente al mostrado en la teoría. A modo de ejemplo, se incorpora el primer contenido de dicha sección:</w:t>
      </w:r>
    </w:p>
    <w:p w:rsidR="009C00CB" w:rsidRPr="009C00CB" w:rsidRDefault="009C00CB" w:rsidP="00B53F24">
      <w:pPr>
        <w:spacing w:line="276" w:lineRule="auto"/>
        <w:jc w:val="both"/>
        <w:rPr>
          <w:rFonts w:ascii="Verdana" w:hAnsi="Verdana"/>
          <w:sz w:val="22"/>
          <w:szCs w:val="22"/>
        </w:rPr>
      </w:pPr>
    </w:p>
    <w:tbl>
      <w:tblPr>
        <w:tblW w:w="7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3217"/>
        <w:gridCol w:w="3614"/>
      </w:tblGrid>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Sección</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Título</w:t>
            </w:r>
          </w:p>
        </w:tc>
        <w:tc>
          <w:tcPr>
            <w:tcW w:w="3614"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Resumen</w:t>
            </w:r>
          </w:p>
        </w:tc>
      </w:tr>
      <w:tr w:rsidR="009C00CB" w:rsidRPr="00A00AFE" w:rsidTr="00B53F24">
        <w:trPr>
          <w:trHeight w:val="1925"/>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1</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Consulta de varias tablas</w:t>
            </w:r>
          </w:p>
        </w:tc>
        <w:tc>
          <w:tcPr>
            <w:tcW w:w="3614"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Hace referencia a un tipo de consulta en la cual intervienen 2 o más tablas, por ejemplo las tablas Empresa, Ciudad y Contacto, relacionadas entre sí por campos comunes.</w:t>
            </w:r>
          </w:p>
        </w:tc>
      </w:tr>
      <w:tr w:rsidR="009C00CB" w:rsidRPr="00A00AFE" w:rsidTr="00B53F24">
        <w:trPr>
          <w:trHeight w:val="755"/>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2</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Composiciones con criterios de selección de fila</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La condición de búsqueda que especifica las columnas de emparejamiento en</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 xml:space="preserve">una consulta </w:t>
            </w:r>
            <w:proofErr w:type="spellStart"/>
            <w:r w:rsidRPr="00F410A5">
              <w:rPr>
                <w:rFonts w:ascii="Verdana" w:hAnsi="Verdana"/>
                <w:sz w:val="22"/>
                <w:szCs w:val="22"/>
              </w:rPr>
              <w:t>multitabla</w:t>
            </w:r>
            <w:proofErr w:type="spellEnd"/>
            <w:r w:rsidRPr="00F410A5">
              <w:rPr>
                <w:rFonts w:ascii="Verdana" w:hAnsi="Verdana"/>
                <w:sz w:val="22"/>
                <w:szCs w:val="22"/>
              </w:rPr>
              <w:t xml:space="preserve"> puede combinarse con otras condiciones de búsqueda para</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restringir</w:t>
            </w:r>
            <w:proofErr w:type="gramEnd"/>
            <w:r w:rsidRPr="00F410A5">
              <w:rPr>
                <w:rFonts w:ascii="Verdana" w:hAnsi="Verdana"/>
                <w:sz w:val="22"/>
                <w:szCs w:val="22"/>
              </w:rPr>
              <w:t xml:space="preserve"> aún más los contenidos de los resultados.</w:t>
            </w:r>
          </w:p>
        </w:tc>
      </w:tr>
      <w:tr w:rsidR="009C00CB" w:rsidRPr="00A00AFE" w:rsidTr="00B53F24">
        <w:trPr>
          <w:trHeight w:val="755"/>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3</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Múltiples columnas de emparejamiento</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Pr>
                <w:rFonts w:ascii="Verdana" w:hAnsi="Verdana"/>
                <w:sz w:val="22"/>
                <w:szCs w:val="22"/>
              </w:rPr>
              <w:t xml:space="preserve">Las </w:t>
            </w:r>
            <w:r w:rsidRPr="00F410A5">
              <w:rPr>
                <w:rFonts w:ascii="Verdana" w:hAnsi="Verdana"/>
                <w:sz w:val="22"/>
                <w:szCs w:val="22"/>
              </w:rPr>
              <w:t xml:space="preserve">composiciones </w:t>
            </w:r>
            <w:proofErr w:type="spellStart"/>
            <w:r w:rsidRPr="00F410A5">
              <w:rPr>
                <w:rFonts w:ascii="Verdana" w:hAnsi="Verdana"/>
                <w:sz w:val="22"/>
                <w:szCs w:val="22"/>
              </w:rPr>
              <w:t>multicolumna</w:t>
            </w:r>
            <w:proofErr w:type="spellEnd"/>
            <w:r w:rsidRPr="00F410A5">
              <w:rPr>
                <w:rFonts w:ascii="Verdana" w:hAnsi="Verdana"/>
                <w:sz w:val="22"/>
                <w:szCs w:val="22"/>
              </w:rPr>
              <w:t xml:space="preserve"> son menos habituales y se encuentran</w:t>
            </w:r>
          </w:p>
          <w:p w:rsidR="00F410A5" w:rsidRPr="00F410A5"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generalmente</w:t>
            </w:r>
            <w:proofErr w:type="gramEnd"/>
            <w:r w:rsidRPr="00F410A5">
              <w:rPr>
                <w:rFonts w:ascii="Verdana" w:hAnsi="Verdana"/>
                <w:sz w:val="22"/>
                <w:szCs w:val="22"/>
              </w:rPr>
              <w:t xml:space="preserve"> en consultas que afecta</w:t>
            </w:r>
            <w:r>
              <w:rPr>
                <w:rFonts w:ascii="Verdana" w:hAnsi="Verdana"/>
                <w:sz w:val="22"/>
                <w:szCs w:val="22"/>
              </w:rPr>
              <w:t>n a claves foráneas compuestas.</w:t>
            </w:r>
            <w:r w:rsidRPr="00F410A5">
              <w:rPr>
                <w:rFonts w:ascii="Verdana" w:hAnsi="Verdana"/>
                <w:sz w:val="22"/>
                <w:szCs w:val="22"/>
              </w:rPr>
              <w:t xml:space="preserve"> Para</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componer las tablas basándose en la relación padre/hijo, deben especificarse ambos</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pares</w:t>
            </w:r>
            <w:proofErr w:type="gramEnd"/>
            <w:r w:rsidRPr="00F410A5">
              <w:rPr>
                <w:rFonts w:ascii="Verdana" w:hAnsi="Verdana"/>
                <w:sz w:val="22"/>
                <w:szCs w:val="22"/>
              </w:rPr>
              <w:t xml:space="preserve"> de columnas de emparejamiento.</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lastRenderedPageBreak/>
              <w:t>4</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Consultas de tres o más tablas</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SQL puede combinar datos de tres o más tablas utilizando las mismas técnicas</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básicas</w:t>
            </w:r>
            <w:proofErr w:type="gramEnd"/>
            <w:r w:rsidRPr="00F410A5">
              <w:rPr>
                <w:rFonts w:ascii="Verdana" w:hAnsi="Verdana"/>
                <w:sz w:val="22"/>
                <w:szCs w:val="22"/>
              </w:rPr>
              <w:t xml:space="preserve"> utilizadas para las consultas de dos tablas.</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5</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Otras equicomposiciones</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 xml:space="preserve">La mayoría de las consultas </w:t>
            </w:r>
            <w:proofErr w:type="spellStart"/>
            <w:r w:rsidRPr="00F410A5">
              <w:rPr>
                <w:rFonts w:ascii="Verdana" w:hAnsi="Verdana"/>
                <w:sz w:val="22"/>
                <w:szCs w:val="22"/>
              </w:rPr>
              <w:t>multitabla</w:t>
            </w:r>
            <w:proofErr w:type="spellEnd"/>
            <w:r w:rsidRPr="00F410A5">
              <w:rPr>
                <w:rFonts w:ascii="Verdana" w:hAnsi="Verdana"/>
                <w:sz w:val="22"/>
                <w:szCs w:val="22"/>
              </w:rPr>
              <w:t xml:space="preserve"> se basan en relaciones padre/hijo, pero</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SQL no exige que las columnas de emparejamiento estén relacionadas como clave</w:t>
            </w:r>
          </w:p>
          <w:p w:rsidR="00F410A5" w:rsidRPr="00F410A5"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primaria</w:t>
            </w:r>
            <w:proofErr w:type="gramEnd"/>
            <w:r w:rsidRPr="00F410A5">
              <w:rPr>
                <w:rFonts w:ascii="Verdana" w:hAnsi="Verdana"/>
                <w:sz w:val="22"/>
                <w:szCs w:val="22"/>
              </w:rPr>
              <w:t xml:space="preserve"> y clave foránea. Cualquier par de columnas de dos tablas pueden servir de</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columnas</w:t>
            </w:r>
            <w:proofErr w:type="gramEnd"/>
            <w:r w:rsidRPr="00F410A5">
              <w:rPr>
                <w:rFonts w:ascii="Verdana" w:hAnsi="Verdana"/>
                <w:sz w:val="22"/>
                <w:szCs w:val="22"/>
              </w:rPr>
              <w:t xml:space="preserve"> de emparejamiento, siempre que tengan tipos de datos comparables.</w:t>
            </w:r>
          </w:p>
        </w:tc>
      </w:tr>
      <w:tr w:rsidR="009C00CB" w:rsidRPr="00A00AFE" w:rsidTr="00B53F24">
        <w:trPr>
          <w:trHeight w:val="755"/>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6</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Composiciones basadas en desigualdad</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El término composición (</w:t>
            </w:r>
            <w:proofErr w:type="spellStart"/>
            <w:r w:rsidRPr="00F410A5">
              <w:rPr>
                <w:rFonts w:ascii="Verdana" w:hAnsi="Verdana"/>
                <w:sz w:val="22"/>
                <w:szCs w:val="22"/>
              </w:rPr>
              <w:t>join</w:t>
            </w:r>
            <w:proofErr w:type="spellEnd"/>
            <w:r w:rsidRPr="00F410A5">
              <w:rPr>
                <w:rFonts w:ascii="Verdana" w:hAnsi="Verdana"/>
                <w:sz w:val="22"/>
                <w:szCs w:val="22"/>
              </w:rPr>
              <w:t>) se aplica a cualquier consulta que combina datos</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de dos tablas mediante comparación de los valores en una pareja de columnas de las</w:t>
            </w:r>
          </w:p>
          <w:p w:rsidR="00F410A5" w:rsidRPr="00F410A5"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tablas</w:t>
            </w:r>
            <w:proofErr w:type="gramEnd"/>
            <w:r w:rsidRPr="00F410A5">
              <w:rPr>
                <w:rFonts w:ascii="Verdana" w:hAnsi="Verdana"/>
                <w:sz w:val="22"/>
                <w:szCs w:val="22"/>
              </w:rPr>
              <w:t>. Aunque las composiciones basadas en la igualdad entre columnas</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correspondientes (</w:t>
            </w:r>
            <w:proofErr w:type="spellStart"/>
            <w:r w:rsidRPr="00F410A5">
              <w:rPr>
                <w:rFonts w:ascii="Verdana" w:hAnsi="Verdana"/>
                <w:sz w:val="22"/>
                <w:szCs w:val="22"/>
              </w:rPr>
              <w:t>equicomposiciones</w:t>
            </w:r>
            <w:proofErr w:type="spellEnd"/>
            <w:r w:rsidRPr="00F410A5">
              <w:rPr>
                <w:rFonts w:ascii="Verdana" w:hAnsi="Verdana"/>
                <w:sz w:val="22"/>
                <w:szCs w:val="22"/>
              </w:rPr>
              <w:t>) son con mucho las composiciones más</w:t>
            </w:r>
          </w:p>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habituales, SQL también permite componer tablas basándose en otros operadores de</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comparación</w:t>
            </w:r>
            <w:proofErr w:type="gramEnd"/>
            <w:r w:rsidRPr="00F410A5">
              <w:rPr>
                <w:rFonts w:ascii="Verdana" w:hAnsi="Verdana"/>
                <w:sz w:val="22"/>
                <w:szCs w:val="22"/>
              </w:rPr>
              <w:t>.</w:t>
            </w:r>
          </w:p>
        </w:tc>
      </w:tr>
      <w:tr w:rsidR="009C00CB" w:rsidRPr="00A00AFE" w:rsidTr="00B53F24">
        <w:trPr>
          <w:trHeight w:val="774"/>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7</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Consideraciones SQL para consultas de varias tablas</w:t>
            </w:r>
          </w:p>
        </w:tc>
        <w:tc>
          <w:tcPr>
            <w:tcW w:w="3614" w:type="dxa"/>
            <w:shd w:val="clear" w:color="auto" w:fill="auto"/>
          </w:tcPr>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Las palabras reservadas de SQL aparecen en mayúsculas.</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Los nombres de objetos (tablas, columnas, etcétera) suelen aparecer en</w:t>
            </w:r>
          </w:p>
          <w:p w:rsidR="00163BFB" w:rsidRPr="00163BFB" w:rsidRDefault="00163BFB" w:rsidP="00163BFB">
            <w:pPr>
              <w:spacing w:line="276" w:lineRule="auto"/>
              <w:jc w:val="both"/>
              <w:rPr>
                <w:rFonts w:ascii="Verdana" w:hAnsi="Verdana"/>
                <w:sz w:val="22"/>
                <w:szCs w:val="22"/>
              </w:rPr>
            </w:pPr>
            <w:proofErr w:type="gramStart"/>
            <w:r w:rsidRPr="00163BFB">
              <w:rPr>
                <w:rFonts w:ascii="Verdana" w:hAnsi="Verdana"/>
                <w:sz w:val="22"/>
                <w:szCs w:val="22"/>
              </w:rPr>
              <w:t>minúsculas</w:t>
            </w:r>
            <w:proofErr w:type="gramEnd"/>
            <w:r w:rsidRPr="00163BFB">
              <w:rPr>
                <w:rFonts w:ascii="Verdana" w:hAnsi="Verdana"/>
                <w:sz w:val="22"/>
                <w:szCs w:val="22"/>
              </w:rPr>
              <w:t>.</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xml:space="preserve">• La notación </w:t>
            </w:r>
            <w:proofErr w:type="spellStart"/>
            <w:r w:rsidRPr="00163BFB">
              <w:rPr>
                <w:rFonts w:ascii="Verdana" w:hAnsi="Verdana"/>
                <w:sz w:val="22"/>
                <w:szCs w:val="22"/>
              </w:rPr>
              <w:t>lista_de_elementos</w:t>
            </w:r>
            <w:proofErr w:type="spellEnd"/>
            <w:r w:rsidRPr="00163BFB">
              <w:rPr>
                <w:rFonts w:ascii="Verdana" w:hAnsi="Verdana"/>
                <w:sz w:val="22"/>
                <w:szCs w:val="22"/>
              </w:rPr>
              <w:t xml:space="preserve"> especifica una lista de elementos separados por</w:t>
            </w:r>
          </w:p>
          <w:p w:rsidR="00163BFB" w:rsidRPr="00163BFB" w:rsidRDefault="00163BFB" w:rsidP="00163BFB">
            <w:pPr>
              <w:spacing w:line="276" w:lineRule="auto"/>
              <w:jc w:val="both"/>
              <w:rPr>
                <w:rFonts w:ascii="Verdana" w:hAnsi="Verdana"/>
                <w:sz w:val="22"/>
                <w:szCs w:val="22"/>
              </w:rPr>
            </w:pPr>
            <w:proofErr w:type="gramStart"/>
            <w:r w:rsidRPr="00163BFB">
              <w:rPr>
                <w:rFonts w:ascii="Verdana" w:hAnsi="Verdana"/>
                <w:sz w:val="22"/>
                <w:szCs w:val="22"/>
              </w:rPr>
              <w:lastRenderedPageBreak/>
              <w:t>comas</w:t>
            </w:r>
            <w:proofErr w:type="gramEnd"/>
            <w:r w:rsidRPr="00163BFB">
              <w:rPr>
                <w:rFonts w:ascii="Verdana" w:hAnsi="Verdana"/>
                <w:sz w:val="22"/>
                <w:szCs w:val="22"/>
              </w:rPr>
              <w:t>.</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xml:space="preserve">• La barra vertical </w:t>
            </w:r>
            <w:proofErr w:type="gramStart"/>
            <w:r w:rsidRPr="00163BFB">
              <w:rPr>
                <w:rFonts w:ascii="Verdana" w:hAnsi="Verdana"/>
                <w:sz w:val="22"/>
                <w:szCs w:val="22"/>
              </w:rPr>
              <w:t>( |</w:t>
            </w:r>
            <w:proofErr w:type="gramEnd"/>
            <w:r w:rsidRPr="00163BFB">
              <w:rPr>
                <w:rFonts w:ascii="Verdana" w:hAnsi="Verdana"/>
                <w:sz w:val="22"/>
                <w:szCs w:val="22"/>
              </w:rPr>
              <w:t xml:space="preserve"> ) indica la elección entre dos elementos.</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Las llaves ({ }) indican la elección obligatoria entre varios elementos.</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xml:space="preserve">• Los corchetes </w:t>
            </w:r>
            <w:proofErr w:type="gramStart"/>
            <w:r w:rsidRPr="00163BFB">
              <w:rPr>
                <w:rFonts w:ascii="Verdana" w:hAnsi="Verdana"/>
                <w:sz w:val="22"/>
                <w:szCs w:val="22"/>
              </w:rPr>
              <w:t>( [</w:t>
            </w:r>
            <w:proofErr w:type="gramEnd"/>
            <w:r w:rsidRPr="00163BFB">
              <w:rPr>
                <w:rFonts w:ascii="Verdana" w:hAnsi="Verdana"/>
                <w:sz w:val="22"/>
                <w:szCs w:val="22"/>
              </w:rPr>
              <w:t xml:space="preserve"> ] ) encierran un elemento opcional.</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 El punto y coma ( ; ) que aparece al final de cada comando, en realidad no forma</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parte de la sintaxis del lenguaje SQL pero suele ser un elemento requerido por</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las herramientas de cliente para determinar el final del comando SQL y enviar la</w:t>
            </w:r>
          </w:p>
          <w:p w:rsidR="009C00CB" w:rsidRPr="00A00AFE" w:rsidRDefault="00163BFB" w:rsidP="00163BFB">
            <w:pPr>
              <w:spacing w:line="276" w:lineRule="auto"/>
              <w:jc w:val="both"/>
              <w:rPr>
                <w:rFonts w:ascii="Verdana" w:hAnsi="Verdana"/>
                <w:sz w:val="22"/>
                <w:szCs w:val="22"/>
              </w:rPr>
            </w:pPr>
            <w:proofErr w:type="spellStart"/>
            <w:proofErr w:type="gramStart"/>
            <w:r w:rsidRPr="00163BFB">
              <w:rPr>
                <w:rFonts w:ascii="Verdana" w:hAnsi="Verdana"/>
                <w:sz w:val="22"/>
                <w:szCs w:val="22"/>
              </w:rPr>
              <w:t>órden</w:t>
            </w:r>
            <w:proofErr w:type="spellEnd"/>
            <w:proofErr w:type="gramEnd"/>
            <w:r w:rsidRPr="00163BFB">
              <w:rPr>
                <w:rFonts w:ascii="Verdana" w:hAnsi="Verdana"/>
                <w:sz w:val="22"/>
                <w:szCs w:val="22"/>
              </w:rPr>
              <w:t xml:space="preserve"> (sin el ;) al servidor.</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lastRenderedPageBreak/>
              <w:t>8</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La estructura de una composición</w:t>
            </w:r>
          </w:p>
        </w:tc>
        <w:tc>
          <w:tcPr>
            <w:tcW w:w="3614" w:type="dxa"/>
            <w:shd w:val="clear" w:color="auto" w:fill="auto"/>
          </w:tcPr>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La sintaxis es la siguiente:</w:t>
            </w:r>
          </w:p>
          <w:p w:rsidR="00163BFB" w:rsidRPr="00163BFB" w:rsidRDefault="00163BFB" w:rsidP="00163BFB">
            <w:pPr>
              <w:spacing w:line="276" w:lineRule="auto"/>
              <w:jc w:val="both"/>
              <w:rPr>
                <w:rFonts w:ascii="Verdana" w:hAnsi="Verdana"/>
                <w:sz w:val="22"/>
                <w:szCs w:val="22"/>
              </w:rPr>
            </w:pPr>
          </w:p>
          <w:p w:rsidR="00163BFB" w:rsidRPr="00163BFB" w:rsidRDefault="00163BFB" w:rsidP="00163BFB">
            <w:pPr>
              <w:spacing w:line="276" w:lineRule="auto"/>
              <w:jc w:val="both"/>
              <w:rPr>
                <w:rFonts w:ascii="Verdana" w:hAnsi="Verdana"/>
                <w:sz w:val="22"/>
                <w:szCs w:val="22"/>
                <w:lang w:val="en-US"/>
              </w:rPr>
            </w:pPr>
            <w:r w:rsidRPr="00163BFB">
              <w:rPr>
                <w:rFonts w:ascii="Verdana" w:hAnsi="Verdana"/>
                <w:sz w:val="22"/>
                <w:szCs w:val="22"/>
                <w:lang w:val="en-US"/>
              </w:rPr>
              <w:t xml:space="preserve"> </w:t>
            </w:r>
            <w:r w:rsidRPr="00163BFB">
              <w:rPr>
                <w:rFonts w:ascii="Verdana" w:hAnsi="Verdana"/>
                <w:sz w:val="22"/>
                <w:szCs w:val="22"/>
                <w:lang w:val="en-US"/>
              </w:rPr>
              <w:t xml:space="preserve">FROM </w:t>
            </w:r>
            <w:proofErr w:type="spellStart"/>
            <w:r w:rsidRPr="00163BFB">
              <w:rPr>
                <w:rFonts w:ascii="Verdana" w:hAnsi="Verdana"/>
                <w:sz w:val="22"/>
                <w:szCs w:val="22"/>
                <w:lang w:val="en-US"/>
              </w:rPr>
              <w:t>tabla</w:t>
            </w:r>
            <w:proofErr w:type="spellEnd"/>
            <w:r w:rsidRPr="00163BFB">
              <w:rPr>
                <w:rFonts w:ascii="Verdana" w:hAnsi="Verdana"/>
                <w:sz w:val="22"/>
                <w:szCs w:val="22"/>
                <w:lang w:val="en-US"/>
              </w:rPr>
              <w:t xml:space="preserve"> 1 INNER JOIN table 2</w:t>
            </w:r>
            <w:r>
              <w:rPr>
                <w:rFonts w:ascii="Verdana" w:hAnsi="Verdana"/>
                <w:sz w:val="22"/>
                <w:szCs w:val="22"/>
                <w:lang w:val="en-US"/>
              </w:rPr>
              <w:t xml:space="preserve"> ON tabla1.col1 = tabla2.col2</w:t>
            </w:r>
          </w:p>
          <w:p w:rsidR="00163BFB" w:rsidRPr="00163BFB" w:rsidRDefault="00163BFB" w:rsidP="00163BFB">
            <w:pPr>
              <w:spacing w:line="276" w:lineRule="auto"/>
              <w:jc w:val="both"/>
              <w:rPr>
                <w:rFonts w:ascii="Verdana" w:hAnsi="Verdana"/>
                <w:sz w:val="22"/>
                <w:szCs w:val="22"/>
                <w:lang w:val="en-US"/>
              </w:rPr>
            </w:pPr>
          </w:p>
          <w:p w:rsidR="00163BFB" w:rsidRPr="00163BFB" w:rsidRDefault="00163BFB" w:rsidP="00163BFB">
            <w:pPr>
              <w:spacing w:line="276" w:lineRule="auto"/>
              <w:jc w:val="both"/>
              <w:rPr>
                <w:rFonts w:ascii="Verdana" w:hAnsi="Verdana"/>
                <w:sz w:val="22"/>
                <w:szCs w:val="22"/>
                <w:lang w:val="en-US"/>
              </w:rPr>
            </w:pP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Ejemplo:</w:t>
            </w:r>
          </w:p>
          <w:p w:rsidR="00163BFB" w:rsidRPr="00163BFB" w:rsidRDefault="00163BFB" w:rsidP="00163BFB">
            <w:pPr>
              <w:spacing w:line="276" w:lineRule="auto"/>
              <w:jc w:val="both"/>
              <w:rPr>
                <w:rFonts w:ascii="Verdana" w:hAnsi="Verdana"/>
                <w:sz w:val="22"/>
                <w:szCs w:val="22"/>
              </w:rPr>
            </w:pP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SELECT *</w:t>
            </w:r>
          </w:p>
          <w:p w:rsidR="009C00CB" w:rsidRPr="00A00AFE" w:rsidRDefault="00163BFB" w:rsidP="00163BFB">
            <w:pPr>
              <w:spacing w:line="276" w:lineRule="auto"/>
              <w:jc w:val="both"/>
              <w:rPr>
                <w:rFonts w:ascii="Verdana" w:hAnsi="Verdana"/>
                <w:sz w:val="22"/>
                <w:szCs w:val="22"/>
              </w:rPr>
            </w:pPr>
            <w:r w:rsidRPr="00163BFB">
              <w:rPr>
                <w:rFonts w:ascii="Verdana" w:hAnsi="Verdana"/>
                <w:sz w:val="22"/>
                <w:szCs w:val="22"/>
              </w:rPr>
              <w:t xml:space="preserve">FROM pedidos INNER JOIN clientes ON </w:t>
            </w:r>
            <w:proofErr w:type="spellStart"/>
            <w:r w:rsidRPr="00163BFB">
              <w:rPr>
                <w:rFonts w:ascii="Verdana" w:hAnsi="Verdana"/>
                <w:sz w:val="22"/>
                <w:szCs w:val="22"/>
              </w:rPr>
              <w:t>pedidos.clie</w:t>
            </w:r>
            <w:proofErr w:type="spellEnd"/>
            <w:r w:rsidRPr="00163BFB">
              <w:rPr>
                <w:rFonts w:ascii="Verdana" w:hAnsi="Verdana"/>
                <w:sz w:val="22"/>
                <w:szCs w:val="22"/>
              </w:rPr>
              <w:t xml:space="preserve"> = </w:t>
            </w:r>
            <w:proofErr w:type="spellStart"/>
            <w:r w:rsidRPr="00163BFB">
              <w:rPr>
                <w:rFonts w:ascii="Verdana" w:hAnsi="Verdana"/>
                <w:sz w:val="22"/>
                <w:szCs w:val="22"/>
              </w:rPr>
              <w:t>clientes.numclie</w:t>
            </w:r>
            <w:proofErr w:type="spellEnd"/>
          </w:p>
        </w:tc>
      </w:tr>
      <w:tr w:rsidR="009C00CB" w:rsidRPr="00A00AFE" w:rsidTr="00B53F24">
        <w:trPr>
          <w:trHeight w:val="755"/>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9</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Composiciones externa, interna y completa</w:t>
            </w:r>
          </w:p>
        </w:tc>
        <w:tc>
          <w:tcPr>
            <w:tcW w:w="3614" w:type="dxa"/>
            <w:shd w:val="clear" w:color="auto" w:fill="auto"/>
          </w:tcPr>
          <w:p w:rsidR="009C00CB" w:rsidRDefault="00163BFB" w:rsidP="00B53F24">
            <w:pPr>
              <w:spacing w:line="276" w:lineRule="auto"/>
              <w:jc w:val="both"/>
              <w:rPr>
                <w:rFonts w:ascii="Verdana" w:hAnsi="Verdana"/>
                <w:sz w:val="22"/>
                <w:szCs w:val="22"/>
              </w:rPr>
            </w:pPr>
            <w:r>
              <w:rPr>
                <w:rFonts w:ascii="Verdana" w:hAnsi="Verdana"/>
                <w:sz w:val="22"/>
                <w:szCs w:val="22"/>
              </w:rPr>
              <w:t xml:space="preserve">Externa: </w:t>
            </w:r>
            <w:r w:rsidRPr="00163BFB">
              <w:rPr>
                <w:rFonts w:ascii="Verdana" w:hAnsi="Verdana"/>
                <w:sz w:val="22"/>
                <w:szCs w:val="22"/>
              </w:rPr>
              <w:t xml:space="preserve">La reunión externa puede verse en este caso como una reunión interna donde no es necesario que el registro hijo tenga informada la clave foránea para ser mostrado, por ejemplo, cuando se mostraban los cursos junto a los profesores que los imparten, como uno de los cursos no tiene padre, es decir, no tiene un profesor asignado, o lo que </w:t>
            </w:r>
            <w:r w:rsidRPr="00163BFB">
              <w:rPr>
                <w:rFonts w:ascii="Verdana" w:hAnsi="Verdana"/>
                <w:sz w:val="22"/>
                <w:szCs w:val="22"/>
              </w:rPr>
              <w:lastRenderedPageBreak/>
              <w:t>es lo mismo, el campo ID_PROFE de la tabla CURSOS está a nulo, este curso no se muestra dado que no satisface la cláusula ON. Bien, este recurso nos ofrece la posibilidad de mostrar estos registros con los campos del registro padre a nulo.</w:t>
            </w:r>
          </w:p>
          <w:p w:rsidR="00163BFB" w:rsidRDefault="00163BFB" w:rsidP="00B53F24">
            <w:pPr>
              <w:spacing w:line="276" w:lineRule="auto"/>
              <w:jc w:val="both"/>
              <w:rPr>
                <w:rFonts w:ascii="Verdana" w:hAnsi="Verdana"/>
                <w:sz w:val="22"/>
                <w:szCs w:val="22"/>
              </w:rPr>
            </w:pPr>
            <w:r>
              <w:rPr>
                <w:rFonts w:ascii="Verdana" w:hAnsi="Verdana"/>
                <w:sz w:val="22"/>
                <w:szCs w:val="22"/>
              </w:rPr>
              <w:t xml:space="preserve">Interna: </w:t>
            </w:r>
            <w:r w:rsidRPr="00163BFB">
              <w:rPr>
                <w:rFonts w:ascii="Verdana" w:hAnsi="Verdana"/>
                <w:sz w:val="22"/>
                <w:szCs w:val="22"/>
              </w:rPr>
              <w:t>Esta cláusula está diseñada precisamente para reunir registros de varias tablas, en ella intervienen las claves primarias y foráneas, y no intervienen, o lo hacen en la cláusula WHERE, los filtros propiamente dichos. Veamos una de las consultas que se expuso en la lección anterior usando esta sintaxis.</w:t>
            </w:r>
          </w:p>
          <w:p w:rsidR="00163BFB" w:rsidRPr="00A00AFE" w:rsidRDefault="00163BFB" w:rsidP="00B53F24">
            <w:pPr>
              <w:spacing w:line="276" w:lineRule="auto"/>
              <w:jc w:val="both"/>
              <w:rPr>
                <w:rFonts w:ascii="Verdana" w:hAnsi="Verdana"/>
                <w:sz w:val="22"/>
                <w:szCs w:val="22"/>
              </w:rPr>
            </w:pPr>
            <w:r>
              <w:rPr>
                <w:rFonts w:ascii="Verdana" w:hAnsi="Verdana"/>
                <w:sz w:val="22"/>
                <w:szCs w:val="22"/>
              </w:rPr>
              <w:t xml:space="preserve">Completa: </w:t>
            </w:r>
            <w:r w:rsidRPr="00163BFB">
              <w:rPr>
                <w:rFonts w:ascii="Verdana" w:hAnsi="Verdana"/>
                <w:sz w:val="22"/>
                <w:szCs w:val="22"/>
              </w:rPr>
              <w:t xml:space="preserve">Esta operación presenta los resultados de tabla izquierda y tabla derecha aunque alguna no tengan correspondencia en la otra tabla. La tabla combinada contendrá, entonces, todos los registros de ambas tablas y presentará valores nulos </w:t>
            </w:r>
            <w:proofErr w:type="spellStart"/>
            <w:r w:rsidRPr="00163BFB">
              <w:rPr>
                <w:rFonts w:ascii="Verdana" w:hAnsi="Verdana"/>
                <w:sz w:val="22"/>
                <w:szCs w:val="22"/>
              </w:rPr>
              <w:t>NULLs</w:t>
            </w:r>
            <w:proofErr w:type="spellEnd"/>
            <w:r w:rsidRPr="00163BFB">
              <w:rPr>
                <w:rFonts w:ascii="Verdana" w:hAnsi="Verdana"/>
                <w:sz w:val="22"/>
                <w:szCs w:val="22"/>
              </w:rPr>
              <w:t xml:space="preserve"> para registros sin pareja.</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lastRenderedPageBreak/>
              <w:t>10</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Subconsultas</w:t>
            </w:r>
          </w:p>
        </w:tc>
        <w:tc>
          <w:tcPr>
            <w:tcW w:w="3614" w:type="dxa"/>
            <w:shd w:val="clear" w:color="auto" w:fill="auto"/>
          </w:tcPr>
          <w:p w:rsidR="009C00CB" w:rsidRPr="00163BFB" w:rsidRDefault="00F410A5" w:rsidP="00B53F24">
            <w:pPr>
              <w:spacing w:line="276" w:lineRule="auto"/>
              <w:jc w:val="both"/>
              <w:rPr>
                <w:rFonts w:ascii="Verdana" w:hAnsi="Verdana"/>
                <w:sz w:val="22"/>
                <w:szCs w:val="22"/>
              </w:rPr>
            </w:pPr>
            <w:r w:rsidRPr="00163BFB">
              <w:rPr>
                <w:rFonts w:ascii="Verdana" w:hAnsi="Verdana"/>
                <w:sz w:val="22"/>
                <w:szCs w:val="22"/>
              </w:rPr>
              <w:t xml:space="preserve">La característica de </w:t>
            </w:r>
            <w:proofErr w:type="spellStart"/>
            <w:r w:rsidRPr="00163BFB">
              <w:rPr>
                <w:rFonts w:ascii="Verdana" w:hAnsi="Verdana"/>
                <w:sz w:val="22"/>
                <w:szCs w:val="22"/>
              </w:rPr>
              <w:t>subconsulta</w:t>
            </w:r>
            <w:proofErr w:type="spellEnd"/>
            <w:r w:rsidRPr="00163BFB">
              <w:rPr>
                <w:rFonts w:ascii="Verdana" w:hAnsi="Verdana"/>
                <w:sz w:val="22"/>
                <w:szCs w:val="22"/>
              </w:rPr>
              <w:t xml:space="preserve"> de SQL permite utilizar los resultados de una consulta como parte de otra. La capacidad de utilizar una consulta dentro de otra fue la razón original para la palabra “estructurada” en el nombre Lenguaje de Consultas Estructuradas (</w:t>
            </w:r>
            <w:proofErr w:type="spellStart"/>
            <w:r w:rsidRPr="00163BFB">
              <w:rPr>
                <w:rFonts w:ascii="Verdana" w:hAnsi="Verdana"/>
                <w:sz w:val="22"/>
                <w:szCs w:val="22"/>
              </w:rPr>
              <w:t>Structured</w:t>
            </w:r>
            <w:proofErr w:type="spellEnd"/>
            <w:r w:rsidRPr="00163BFB">
              <w:rPr>
                <w:rFonts w:ascii="Verdana" w:hAnsi="Verdana"/>
                <w:sz w:val="22"/>
                <w:szCs w:val="22"/>
              </w:rPr>
              <w:t xml:space="preserve"> </w:t>
            </w:r>
            <w:proofErr w:type="spellStart"/>
            <w:r w:rsidRPr="00163BFB">
              <w:rPr>
                <w:rFonts w:ascii="Verdana" w:hAnsi="Verdana"/>
                <w:sz w:val="22"/>
                <w:szCs w:val="22"/>
              </w:rPr>
              <w:t>Query</w:t>
            </w:r>
            <w:proofErr w:type="spellEnd"/>
            <w:r w:rsidRPr="00163BFB">
              <w:rPr>
                <w:rFonts w:ascii="Verdana" w:hAnsi="Verdana"/>
                <w:sz w:val="22"/>
                <w:szCs w:val="22"/>
              </w:rPr>
              <w:t xml:space="preserve"> </w:t>
            </w:r>
            <w:proofErr w:type="spellStart"/>
            <w:r w:rsidRPr="00163BFB">
              <w:rPr>
                <w:rFonts w:ascii="Verdana" w:hAnsi="Verdana"/>
                <w:sz w:val="22"/>
                <w:szCs w:val="22"/>
              </w:rPr>
              <w:t>Language</w:t>
            </w:r>
            <w:proofErr w:type="spellEnd"/>
            <w:r w:rsidRPr="00163BFB">
              <w:rPr>
                <w:rFonts w:ascii="Verdana" w:hAnsi="Verdana"/>
                <w:sz w:val="22"/>
                <w:szCs w:val="22"/>
              </w:rPr>
              <w:t>-SQL).</w:t>
            </w:r>
            <w:r w:rsidRPr="00163BFB">
              <w:rPr>
                <w:rFonts w:ascii="Verdana" w:hAnsi="Verdana"/>
                <w:sz w:val="22"/>
                <w:szCs w:val="22"/>
              </w:rPr>
              <w:t>t</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lastRenderedPageBreak/>
              <w:t>11</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Subconsultas de la cláusula WHERE</w:t>
            </w:r>
          </w:p>
        </w:tc>
        <w:tc>
          <w:tcPr>
            <w:tcW w:w="3614" w:type="dxa"/>
            <w:shd w:val="clear" w:color="auto" w:fill="auto"/>
          </w:tcPr>
          <w:p w:rsidR="00F410A5" w:rsidRPr="00F410A5" w:rsidRDefault="00F410A5" w:rsidP="00F410A5">
            <w:pPr>
              <w:spacing w:line="276" w:lineRule="auto"/>
              <w:jc w:val="both"/>
              <w:rPr>
                <w:rFonts w:ascii="Verdana" w:hAnsi="Verdana"/>
                <w:sz w:val="22"/>
                <w:szCs w:val="22"/>
              </w:rPr>
            </w:pPr>
            <w:r w:rsidRPr="00F410A5">
              <w:rPr>
                <w:rFonts w:ascii="Verdana" w:hAnsi="Verdana"/>
                <w:sz w:val="22"/>
                <w:szCs w:val="22"/>
              </w:rPr>
              <w:t xml:space="preserve">Las </w:t>
            </w:r>
            <w:proofErr w:type="spellStart"/>
            <w:r w:rsidRPr="00F410A5">
              <w:rPr>
                <w:rFonts w:ascii="Verdana" w:hAnsi="Verdana"/>
                <w:sz w:val="22"/>
                <w:szCs w:val="22"/>
              </w:rPr>
              <w:t>subconsultas</w:t>
            </w:r>
            <w:proofErr w:type="spellEnd"/>
            <w:r w:rsidRPr="00F410A5">
              <w:rPr>
                <w:rFonts w:ascii="Verdana" w:hAnsi="Verdana"/>
                <w:sz w:val="22"/>
                <w:szCs w:val="22"/>
              </w:rPr>
              <w:t xml:space="preserve"> suelen ser utilizadas principalmente en la cláusula WHERE de</w:t>
            </w:r>
          </w:p>
          <w:p w:rsidR="00F410A5" w:rsidRPr="00F410A5"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una</w:t>
            </w:r>
            <w:proofErr w:type="gramEnd"/>
            <w:r w:rsidRPr="00F410A5">
              <w:rPr>
                <w:rFonts w:ascii="Verdana" w:hAnsi="Verdana"/>
                <w:sz w:val="22"/>
                <w:szCs w:val="22"/>
              </w:rPr>
              <w:t xml:space="preserve"> sentencia SQL. Cuando aparece una </w:t>
            </w:r>
            <w:proofErr w:type="spellStart"/>
            <w:r w:rsidRPr="00F410A5">
              <w:rPr>
                <w:rFonts w:ascii="Verdana" w:hAnsi="Verdana"/>
                <w:sz w:val="22"/>
                <w:szCs w:val="22"/>
              </w:rPr>
              <w:t>subconsulta</w:t>
            </w:r>
            <w:proofErr w:type="spellEnd"/>
            <w:r w:rsidRPr="00F410A5">
              <w:rPr>
                <w:rFonts w:ascii="Verdana" w:hAnsi="Verdana"/>
                <w:sz w:val="22"/>
                <w:szCs w:val="22"/>
              </w:rPr>
              <w:t xml:space="preserve"> en la cláusula WHERE, ésta</w:t>
            </w:r>
          </w:p>
          <w:p w:rsidR="009C00CB" w:rsidRPr="00A00AFE" w:rsidRDefault="00F410A5" w:rsidP="00F410A5">
            <w:pPr>
              <w:spacing w:line="276" w:lineRule="auto"/>
              <w:jc w:val="both"/>
              <w:rPr>
                <w:rFonts w:ascii="Verdana" w:hAnsi="Verdana"/>
                <w:sz w:val="22"/>
                <w:szCs w:val="22"/>
              </w:rPr>
            </w:pPr>
            <w:proofErr w:type="gramStart"/>
            <w:r w:rsidRPr="00F410A5">
              <w:rPr>
                <w:rFonts w:ascii="Verdana" w:hAnsi="Verdana"/>
                <w:sz w:val="22"/>
                <w:szCs w:val="22"/>
              </w:rPr>
              <w:t>funciona</w:t>
            </w:r>
            <w:proofErr w:type="gramEnd"/>
            <w:r w:rsidRPr="00F410A5">
              <w:rPr>
                <w:rFonts w:ascii="Verdana" w:hAnsi="Verdana"/>
                <w:sz w:val="22"/>
                <w:szCs w:val="22"/>
              </w:rPr>
              <w:t xml:space="preserve"> como parte del proceso de selección de filas.</w:t>
            </w:r>
          </w:p>
        </w:tc>
      </w:tr>
      <w:tr w:rsidR="009C00CB" w:rsidRPr="00A00AFE" w:rsidTr="00B53F24">
        <w:trPr>
          <w:trHeight w:val="379"/>
          <w:jc w:val="center"/>
        </w:trPr>
        <w:tc>
          <w:tcPr>
            <w:tcW w:w="1161"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12</w:t>
            </w:r>
          </w:p>
        </w:tc>
        <w:tc>
          <w:tcPr>
            <w:tcW w:w="3217" w:type="dxa"/>
            <w:shd w:val="clear" w:color="auto" w:fill="auto"/>
          </w:tcPr>
          <w:p w:rsidR="009C00CB" w:rsidRPr="00A00AFE" w:rsidRDefault="009C00CB" w:rsidP="00B53F24">
            <w:pPr>
              <w:spacing w:line="276" w:lineRule="auto"/>
              <w:jc w:val="both"/>
              <w:rPr>
                <w:rFonts w:ascii="Verdana" w:hAnsi="Verdana"/>
                <w:sz w:val="22"/>
                <w:szCs w:val="22"/>
              </w:rPr>
            </w:pPr>
            <w:r w:rsidRPr="00A00AFE">
              <w:rPr>
                <w:rFonts w:ascii="Verdana" w:hAnsi="Verdana"/>
                <w:sz w:val="22"/>
                <w:szCs w:val="22"/>
              </w:rPr>
              <w:t>Subconsultas en la cláusula HAVING</w:t>
            </w:r>
          </w:p>
        </w:tc>
        <w:tc>
          <w:tcPr>
            <w:tcW w:w="3614" w:type="dxa"/>
            <w:shd w:val="clear" w:color="auto" w:fill="auto"/>
          </w:tcPr>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Al igual que la cláusula WHERE puede ser utilizada para seleccionar y rechazar</w:t>
            </w:r>
          </w:p>
          <w:p w:rsidR="00163BFB" w:rsidRPr="00163BFB" w:rsidRDefault="00163BFB" w:rsidP="00163BFB">
            <w:pPr>
              <w:spacing w:line="276" w:lineRule="auto"/>
              <w:jc w:val="both"/>
              <w:rPr>
                <w:rFonts w:ascii="Verdana" w:hAnsi="Verdana"/>
                <w:sz w:val="22"/>
                <w:szCs w:val="22"/>
              </w:rPr>
            </w:pPr>
            <w:r w:rsidRPr="00163BFB">
              <w:rPr>
                <w:rFonts w:ascii="Verdana" w:hAnsi="Verdana"/>
                <w:sz w:val="22"/>
                <w:szCs w:val="22"/>
              </w:rPr>
              <w:t>filas individuales que participan en una consulta, la cláusula HAVING puede ser</w:t>
            </w:r>
          </w:p>
          <w:p w:rsidR="00163BFB" w:rsidRPr="00163BFB" w:rsidRDefault="00163BFB" w:rsidP="00163BFB">
            <w:pPr>
              <w:spacing w:line="276" w:lineRule="auto"/>
              <w:jc w:val="both"/>
              <w:rPr>
                <w:rFonts w:ascii="Verdana" w:hAnsi="Verdana"/>
                <w:sz w:val="22"/>
                <w:szCs w:val="22"/>
              </w:rPr>
            </w:pPr>
            <w:proofErr w:type="gramStart"/>
            <w:r w:rsidRPr="00163BFB">
              <w:rPr>
                <w:rFonts w:ascii="Verdana" w:hAnsi="Verdana"/>
                <w:sz w:val="22"/>
                <w:szCs w:val="22"/>
              </w:rPr>
              <w:t>utilizada</w:t>
            </w:r>
            <w:proofErr w:type="gramEnd"/>
            <w:r w:rsidRPr="00163BFB">
              <w:rPr>
                <w:rFonts w:ascii="Verdana" w:hAnsi="Verdana"/>
                <w:sz w:val="22"/>
                <w:szCs w:val="22"/>
              </w:rPr>
              <w:t xml:space="preserve"> para seleccionar y rechazar grupos de filas. El formato de la cláusula HAVING</w:t>
            </w:r>
          </w:p>
          <w:p w:rsidR="00163BFB" w:rsidRPr="00163BFB" w:rsidRDefault="00163BFB" w:rsidP="00163BFB">
            <w:pPr>
              <w:spacing w:line="276" w:lineRule="auto"/>
              <w:jc w:val="both"/>
              <w:rPr>
                <w:rFonts w:ascii="Verdana" w:hAnsi="Verdana"/>
                <w:sz w:val="22"/>
                <w:szCs w:val="22"/>
              </w:rPr>
            </w:pPr>
            <w:proofErr w:type="gramStart"/>
            <w:r w:rsidRPr="00163BFB">
              <w:rPr>
                <w:rFonts w:ascii="Verdana" w:hAnsi="Verdana"/>
                <w:sz w:val="22"/>
                <w:szCs w:val="22"/>
              </w:rPr>
              <w:t>es</w:t>
            </w:r>
            <w:proofErr w:type="gramEnd"/>
            <w:r w:rsidRPr="00163BFB">
              <w:rPr>
                <w:rFonts w:ascii="Verdana" w:hAnsi="Verdana"/>
                <w:sz w:val="22"/>
                <w:szCs w:val="22"/>
              </w:rPr>
              <w:t xml:space="preserve"> análogo al de la cláusula WHERE, consistiendo en la palabra clave HAVING seguida</w:t>
            </w:r>
            <w:r>
              <w:rPr>
                <w:rFonts w:ascii="Verdana" w:hAnsi="Verdana"/>
                <w:sz w:val="22"/>
                <w:szCs w:val="22"/>
              </w:rPr>
              <w:t xml:space="preserve"> </w:t>
            </w:r>
            <w:r w:rsidRPr="00163BFB">
              <w:rPr>
                <w:rFonts w:ascii="Verdana" w:hAnsi="Verdana"/>
                <w:sz w:val="22"/>
                <w:szCs w:val="22"/>
              </w:rPr>
              <w:t>de la condición de búsqueda. Por tanto, la cláusula HAVING especifica una condición</w:t>
            </w:r>
          </w:p>
          <w:p w:rsidR="009C00CB" w:rsidRPr="00A00AFE" w:rsidRDefault="00163BFB" w:rsidP="00163BFB">
            <w:pPr>
              <w:spacing w:line="276" w:lineRule="auto"/>
              <w:jc w:val="both"/>
              <w:rPr>
                <w:rFonts w:ascii="Verdana" w:hAnsi="Verdana"/>
                <w:sz w:val="22"/>
                <w:szCs w:val="22"/>
              </w:rPr>
            </w:pPr>
            <w:proofErr w:type="gramStart"/>
            <w:r w:rsidRPr="00163BFB">
              <w:rPr>
                <w:rFonts w:ascii="Verdana" w:hAnsi="Verdana"/>
                <w:sz w:val="22"/>
                <w:szCs w:val="22"/>
              </w:rPr>
              <w:t>de</w:t>
            </w:r>
            <w:proofErr w:type="gramEnd"/>
            <w:r w:rsidRPr="00163BFB">
              <w:rPr>
                <w:rFonts w:ascii="Verdana" w:hAnsi="Verdana"/>
                <w:sz w:val="22"/>
                <w:szCs w:val="22"/>
              </w:rPr>
              <w:t xml:space="preserve"> búsqueda por grupos.</w:t>
            </w:r>
          </w:p>
        </w:tc>
      </w:tr>
    </w:tbl>
    <w:p w:rsidR="00F04F6B" w:rsidRPr="009C00CB" w:rsidRDefault="00F04F6B" w:rsidP="00B53F24">
      <w:pPr>
        <w:spacing w:line="276" w:lineRule="auto"/>
        <w:jc w:val="both"/>
        <w:rPr>
          <w:rFonts w:ascii="Verdana" w:hAnsi="Verdana"/>
          <w:sz w:val="22"/>
          <w:szCs w:val="22"/>
        </w:rPr>
      </w:pPr>
    </w:p>
    <w:p w:rsidR="00AF3461" w:rsidRDefault="00AF3461" w:rsidP="00B53F24">
      <w:pPr>
        <w:spacing w:line="276" w:lineRule="auto"/>
        <w:jc w:val="both"/>
        <w:rPr>
          <w:rFonts w:ascii="Verdana" w:hAnsi="Verdana"/>
          <w:sz w:val="22"/>
          <w:szCs w:val="22"/>
        </w:rPr>
      </w:pPr>
    </w:p>
    <w:p w:rsidR="00F04F6B" w:rsidRPr="00CE2130" w:rsidRDefault="00F04F6B" w:rsidP="00B53F24">
      <w:pPr>
        <w:pStyle w:val="ListParagraph"/>
        <w:spacing w:line="276" w:lineRule="auto"/>
        <w:ind w:left="709"/>
        <w:jc w:val="both"/>
        <w:rPr>
          <w:rFonts w:ascii="Verdana" w:hAnsi="Verdana"/>
          <w:b/>
          <w:sz w:val="22"/>
          <w:szCs w:val="22"/>
        </w:rPr>
      </w:pPr>
    </w:p>
    <w:p w:rsidR="00DE6BAB" w:rsidRDefault="00433594" w:rsidP="00B53F24">
      <w:pPr>
        <w:pStyle w:val="ListParagraph"/>
        <w:spacing w:line="276" w:lineRule="auto"/>
        <w:ind w:left="709"/>
        <w:jc w:val="both"/>
        <w:rPr>
          <w:rFonts w:ascii="Verdana" w:hAnsi="Verdana"/>
          <w:sz w:val="22"/>
          <w:szCs w:val="22"/>
        </w:rPr>
      </w:pPr>
      <w:r>
        <w:rPr>
          <w:rFonts w:ascii="Verdana" w:hAnsi="Verdana"/>
          <w:sz w:val="22"/>
          <w:szCs w:val="22"/>
        </w:rPr>
        <w:t xml:space="preserve">Conclusión: Se ha visto cómo se pueden hacer varias cosas con las tablas y la base de datos de </w:t>
      </w:r>
      <w:proofErr w:type="spellStart"/>
      <w:r>
        <w:rPr>
          <w:rFonts w:ascii="Verdana" w:hAnsi="Verdana"/>
          <w:sz w:val="22"/>
          <w:szCs w:val="22"/>
        </w:rPr>
        <w:t>sql</w:t>
      </w:r>
      <w:proofErr w:type="spellEnd"/>
      <w:r>
        <w:rPr>
          <w:rFonts w:ascii="Verdana" w:hAnsi="Verdana"/>
          <w:sz w:val="22"/>
          <w:szCs w:val="22"/>
        </w:rPr>
        <w:t xml:space="preserve">, también se ha visto que se pueden hacer de dos formas por lo menos en general, la primera sería con los </w:t>
      </w:r>
      <w:proofErr w:type="spellStart"/>
      <w:r>
        <w:rPr>
          <w:rFonts w:ascii="Verdana" w:hAnsi="Verdana"/>
          <w:sz w:val="22"/>
          <w:szCs w:val="22"/>
        </w:rPr>
        <w:t>join</w:t>
      </w:r>
      <w:proofErr w:type="spellEnd"/>
      <w:r>
        <w:rPr>
          <w:rFonts w:ascii="Verdana" w:hAnsi="Verdana"/>
          <w:sz w:val="22"/>
          <w:szCs w:val="22"/>
        </w:rPr>
        <w:t xml:space="preserve">, </w:t>
      </w:r>
      <w:proofErr w:type="spellStart"/>
      <w:r>
        <w:rPr>
          <w:rFonts w:ascii="Verdana" w:hAnsi="Verdana"/>
          <w:sz w:val="22"/>
          <w:szCs w:val="22"/>
        </w:rPr>
        <w:t>inner</w:t>
      </w:r>
      <w:proofErr w:type="spellEnd"/>
      <w:r>
        <w:rPr>
          <w:rFonts w:ascii="Verdana" w:hAnsi="Verdana"/>
          <w:sz w:val="22"/>
          <w:szCs w:val="22"/>
        </w:rPr>
        <w:t xml:space="preserve"> </w:t>
      </w:r>
      <w:proofErr w:type="spellStart"/>
      <w:r>
        <w:rPr>
          <w:rFonts w:ascii="Verdana" w:hAnsi="Verdana"/>
          <w:sz w:val="22"/>
          <w:szCs w:val="22"/>
        </w:rPr>
        <w:t>join</w:t>
      </w:r>
      <w:proofErr w:type="spellEnd"/>
      <w:r>
        <w:rPr>
          <w:rFonts w:ascii="Verdana" w:hAnsi="Verdana"/>
          <w:sz w:val="22"/>
          <w:szCs w:val="22"/>
        </w:rPr>
        <w:t xml:space="preserve">, </w:t>
      </w:r>
      <w:proofErr w:type="spellStart"/>
      <w:r>
        <w:rPr>
          <w:rFonts w:ascii="Verdana" w:hAnsi="Verdana"/>
          <w:sz w:val="22"/>
          <w:szCs w:val="22"/>
        </w:rPr>
        <w:t>etc</w:t>
      </w:r>
      <w:proofErr w:type="spellEnd"/>
      <w:r>
        <w:rPr>
          <w:rFonts w:ascii="Verdana" w:hAnsi="Verdana"/>
          <w:sz w:val="22"/>
          <w:szCs w:val="22"/>
        </w:rPr>
        <w:t>, y la otra sería la que se enseñó en la teoría que e</w:t>
      </w:r>
      <w:r w:rsidR="00373C18">
        <w:rPr>
          <w:rFonts w:ascii="Verdana" w:hAnsi="Verdana"/>
          <w:sz w:val="22"/>
          <w:szCs w:val="22"/>
        </w:rPr>
        <w:t>n mi opinión me gusta más esta última, ya que para m</w:t>
      </w:r>
      <w:bookmarkStart w:id="0" w:name="_GoBack"/>
      <w:bookmarkEnd w:id="0"/>
      <w:r w:rsidR="00373C18">
        <w:rPr>
          <w:rFonts w:ascii="Verdana" w:hAnsi="Verdana"/>
          <w:sz w:val="22"/>
          <w:szCs w:val="22"/>
        </w:rPr>
        <w:t>í</w:t>
      </w:r>
      <w:r>
        <w:rPr>
          <w:rFonts w:ascii="Verdana" w:hAnsi="Verdana"/>
          <w:sz w:val="22"/>
          <w:szCs w:val="22"/>
        </w:rPr>
        <w:t xml:space="preserve"> es más sencilla y entendible.</w:t>
      </w:r>
    </w:p>
    <w:p w:rsidR="00373C18" w:rsidRDefault="00373C18" w:rsidP="00B53F24">
      <w:pPr>
        <w:pStyle w:val="ListParagraph"/>
        <w:spacing w:line="276" w:lineRule="auto"/>
        <w:ind w:left="709"/>
        <w:jc w:val="both"/>
        <w:rPr>
          <w:rFonts w:ascii="Verdana" w:hAnsi="Verdana"/>
          <w:sz w:val="22"/>
          <w:szCs w:val="22"/>
        </w:rPr>
      </w:pPr>
    </w:p>
    <w:p w:rsidR="00373C18" w:rsidRDefault="00373C18" w:rsidP="00B53F24">
      <w:pPr>
        <w:pStyle w:val="ListParagraph"/>
        <w:spacing w:line="276" w:lineRule="auto"/>
        <w:ind w:left="709"/>
        <w:jc w:val="both"/>
        <w:rPr>
          <w:rFonts w:ascii="Verdana" w:hAnsi="Verdana"/>
          <w:sz w:val="22"/>
          <w:szCs w:val="22"/>
        </w:rPr>
      </w:pPr>
      <w:r>
        <w:rPr>
          <w:rFonts w:ascii="Verdana" w:hAnsi="Verdana"/>
          <w:sz w:val="22"/>
          <w:szCs w:val="22"/>
        </w:rPr>
        <w:t>Bibliografía</w:t>
      </w:r>
    </w:p>
    <w:p w:rsidR="00373C18" w:rsidRDefault="00373C18" w:rsidP="00B53F24">
      <w:pPr>
        <w:pStyle w:val="ListParagraph"/>
        <w:spacing w:line="276" w:lineRule="auto"/>
        <w:ind w:left="709"/>
        <w:jc w:val="both"/>
        <w:rPr>
          <w:rFonts w:ascii="Verdana" w:hAnsi="Verdana"/>
          <w:sz w:val="22"/>
          <w:szCs w:val="22"/>
        </w:rPr>
      </w:pPr>
      <w:hyperlink r:id="rId7" w:history="1">
        <w:r w:rsidRPr="00373C18">
          <w:rPr>
            <w:rStyle w:val="Hipervnculo"/>
            <w:rFonts w:ascii="Verdana" w:hAnsi="Verdana"/>
            <w:sz w:val="22"/>
            <w:szCs w:val="22"/>
          </w:rPr>
          <w:t>Consideraciones</w:t>
        </w:r>
      </w:hyperlink>
    </w:p>
    <w:p w:rsidR="00373C18" w:rsidRDefault="00373C18" w:rsidP="00B53F24">
      <w:pPr>
        <w:pStyle w:val="ListParagraph"/>
        <w:spacing w:line="276" w:lineRule="auto"/>
        <w:ind w:left="709"/>
        <w:jc w:val="both"/>
        <w:rPr>
          <w:rFonts w:ascii="Verdana" w:hAnsi="Verdana"/>
          <w:sz w:val="22"/>
          <w:szCs w:val="22"/>
        </w:rPr>
      </w:pPr>
      <w:hyperlink r:id="rId8" w:history="1">
        <w:r w:rsidRPr="00373C18">
          <w:rPr>
            <w:rStyle w:val="Hipervnculo"/>
            <w:rFonts w:ascii="Verdana" w:hAnsi="Verdana"/>
            <w:sz w:val="22"/>
            <w:szCs w:val="22"/>
          </w:rPr>
          <w:t>Estructura de composición</w:t>
        </w:r>
      </w:hyperlink>
    </w:p>
    <w:p w:rsidR="00373C18" w:rsidRDefault="00373C18" w:rsidP="00B53F24">
      <w:pPr>
        <w:pStyle w:val="ListParagraph"/>
        <w:spacing w:line="276" w:lineRule="auto"/>
        <w:ind w:left="709"/>
        <w:jc w:val="both"/>
        <w:rPr>
          <w:rFonts w:ascii="Verdana" w:hAnsi="Verdana"/>
          <w:sz w:val="22"/>
          <w:szCs w:val="22"/>
        </w:rPr>
      </w:pPr>
      <w:hyperlink r:id="rId9" w:history="1">
        <w:r w:rsidRPr="00373C18">
          <w:rPr>
            <w:rStyle w:val="Hipervnculo"/>
            <w:rFonts w:ascii="Verdana" w:hAnsi="Verdana"/>
            <w:sz w:val="22"/>
            <w:szCs w:val="22"/>
          </w:rPr>
          <w:t>Composiciones externas e internas</w:t>
        </w:r>
      </w:hyperlink>
    </w:p>
    <w:p w:rsidR="00373C18" w:rsidRDefault="00373C18" w:rsidP="00B53F24">
      <w:pPr>
        <w:pStyle w:val="ListParagraph"/>
        <w:spacing w:line="276" w:lineRule="auto"/>
        <w:ind w:left="709"/>
        <w:jc w:val="both"/>
        <w:rPr>
          <w:rFonts w:ascii="Verdana" w:hAnsi="Verdana"/>
          <w:sz w:val="22"/>
          <w:szCs w:val="22"/>
        </w:rPr>
      </w:pPr>
      <w:hyperlink r:id="rId10" w:history="1">
        <w:r w:rsidRPr="00373C18">
          <w:rPr>
            <w:rStyle w:val="Hipervnculo"/>
            <w:rFonts w:ascii="Verdana" w:hAnsi="Verdana"/>
            <w:sz w:val="22"/>
            <w:szCs w:val="22"/>
          </w:rPr>
          <w:t>Composición completa</w:t>
        </w:r>
      </w:hyperlink>
    </w:p>
    <w:p w:rsidR="00373C18" w:rsidRPr="00CE2130" w:rsidRDefault="00373C18" w:rsidP="00B53F24">
      <w:pPr>
        <w:pStyle w:val="ListParagraph"/>
        <w:spacing w:line="276" w:lineRule="auto"/>
        <w:ind w:left="709"/>
        <w:jc w:val="both"/>
        <w:rPr>
          <w:rFonts w:ascii="Verdana" w:hAnsi="Verdana"/>
          <w:sz w:val="22"/>
          <w:szCs w:val="22"/>
        </w:rPr>
      </w:pPr>
      <w:hyperlink r:id="rId11" w:history="1">
        <w:r w:rsidRPr="00373C18">
          <w:rPr>
            <w:rStyle w:val="Hipervnculo"/>
            <w:rFonts w:ascii="Verdana" w:hAnsi="Verdana"/>
            <w:sz w:val="22"/>
            <w:szCs w:val="22"/>
          </w:rPr>
          <w:t>El resto</w:t>
        </w:r>
      </w:hyperlink>
    </w:p>
    <w:p w:rsidR="009B4A79" w:rsidRDefault="009B4A79" w:rsidP="00B53F24">
      <w:pPr>
        <w:spacing w:line="276" w:lineRule="auto"/>
        <w:rPr>
          <w:rFonts w:ascii="Verdana" w:hAnsi="Verdana"/>
          <w:b/>
          <w:color w:val="2E3482"/>
          <w:sz w:val="20"/>
          <w:szCs w:val="20"/>
        </w:rPr>
      </w:pPr>
    </w:p>
    <w:sectPr w:rsidR="009B4A79" w:rsidSect="00BD5419">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A3B" w:rsidRDefault="00114A3B" w:rsidP="00BD5419">
      <w:r>
        <w:separator/>
      </w:r>
    </w:p>
  </w:endnote>
  <w:endnote w:type="continuationSeparator" w:id="0">
    <w:p w:rsidR="00114A3B" w:rsidRDefault="00114A3B"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Piedepgina"/>
      <w:ind w:left="-170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A3B" w:rsidRDefault="00114A3B" w:rsidP="00BD5419">
      <w:r>
        <w:separator/>
      </w:r>
    </w:p>
  </w:footnote>
  <w:footnote w:type="continuationSeparator" w:id="0">
    <w:p w:rsidR="00114A3B" w:rsidRDefault="00114A3B"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433594" w:rsidP="00BD5419">
    <w:pPr>
      <w:pStyle w:val="Encabezado"/>
      <w:ind w:left="-1701"/>
    </w:pPr>
    <w:r>
      <w:rPr>
        <w:noProof/>
        <w:lang w:eastAsia="ja-JP"/>
      </w:rPr>
      <w:drawing>
        <wp:anchor distT="0" distB="0" distL="114300" distR="114300" simplePos="0" relativeHeight="251657728" behindDoc="1" locked="0" layoutInCell="1" allowOverlap="0">
          <wp:simplePos x="0" y="0"/>
          <wp:positionH relativeFrom="page">
            <wp:posOffset>0</wp:posOffset>
          </wp:positionH>
          <wp:positionV relativeFrom="page">
            <wp:posOffset>68580</wp:posOffset>
          </wp:positionV>
          <wp:extent cx="7635240" cy="815340"/>
          <wp:effectExtent l="0" t="0" r="3810" b="3810"/>
          <wp:wrapSquare wrapText="bothSides"/>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ncabezad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24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E33D25"/>
    <w:multiLevelType w:val="hybridMultilevel"/>
    <w:tmpl w:val="C1C4EF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FE0005"/>
    <w:multiLevelType w:val="hybridMultilevel"/>
    <w:tmpl w:val="104EBCC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2C692A"/>
    <w:multiLevelType w:val="hybridMultilevel"/>
    <w:tmpl w:val="000C41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367324B8"/>
    <w:multiLevelType w:val="hybridMultilevel"/>
    <w:tmpl w:val="ECA2B7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A23359"/>
    <w:multiLevelType w:val="hybridMultilevel"/>
    <w:tmpl w:val="171E5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3" w15:restartNumberingAfterBreak="0">
    <w:nsid w:val="4E072B89"/>
    <w:multiLevelType w:val="hybridMultilevel"/>
    <w:tmpl w:val="A306C48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0D24FE"/>
    <w:multiLevelType w:val="hybridMultilevel"/>
    <w:tmpl w:val="CDF4A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4"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7"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5"/>
  </w:num>
  <w:num w:numId="4">
    <w:abstractNumId w:val="35"/>
  </w:num>
  <w:num w:numId="5">
    <w:abstractNumId w:val="36"/>
  </w:num>
  <w:num w:numId="6">
    <w:abstractNumId w:val="3"/>
  </w:num>
  <w:num w:numId="7">
    <w:abstractNumId w:val="11"/>
  </w:num>
  <w:num w:numId="8">
    <w:abstractNumId w:val="37"/>
  </w:num>
  <w:num w:numId="9">
    <w:abstractNumId w:val="21"/>
  </w:num>
  <w:num w:numId="10">
    <w:abstractNumId w:val="12"/>
  </w:num>
  <w:num w:numId="11">
    <w:abstractNumId w:val="30"/>
  </w:num>
  <w:num w:numId="12">
    <w:abstractNumId w:val="8"/>
  </w:num>
  <w:num w:numId="13">
    <w:abstractNumId w:val="32"/>
  </w:num>
  <w:num w:numId="14">
    <w:abstractNumId w:val="17"/>
  </w:num>
  <w:num w:numId="15">
    <w:abstractNumId w:val="38"/>
  </w:num>
  <w:num w:numId="16">
    <w:abstractNumId w:val="22"/>
  </w:num>
  <w:num w:numId="17">
    <w:abstractNumId w:val="24"/>
  </w:num>
  <w:num w:numId="18">
    <w:abstractNumId w:val="25"/>
  </w:num>
  <w:num w:numId="19">
    <w:abstractNumId w:val="2"/>
  </w:num>
  <w:num w:numId="20">
    <w:abstractNumId w:val="14"/>
  </w:num>
  <w:num w:numId="21">
    <w:abstractNumId w:val="26"/>
  </w:num>
  <w:num w:numId="22">
    <w:abstractNumId w:val="9"/>
  </w:num>
  <w:num w:numId="23">
    <w:abstractNumId w:val="10"/>
  </w:num>
  <w:num w:numId="24">
    <w:abstractNumId w:val="29"/>
  </w:num>
  <w:num w:numId="25">
    <w:abstractNumId w:val="31"/>
  </w:num>
  <w:num w:numId="26">
    <w:abstractNumId w:val="20"/>
  </w:num>
  <w:num w:numId="27">
    <w:abstractNumId w:val="28"/>
  </w:num>
  <w:num w:numId="28">
    <w:abstractNumId w:val="33"/>
  </w:num>
  <w:num w:numId="29">
    <w:abstractNumId w:val="1"/>
  </w:num>
  <w:num w:numId="30">
    <w:abstractNumId w:val="0"/>
  </w:num>
  <w:num w:numId="31">
    <w:abstractNumId w:val="7"/>
  </w:num>
  <w:num w:numId="32">
    <w:abstractNumId w:val="15"/>
  </w:num>
  <w:num w:numId="33">
    <w:abstractNumId w:val="4"/>
  </w:num>
  <w:num w:numId="34">
    <w:abstractNumId w:val="16"/>
  </w:num>
  <w:num w:numId="35">
    <w:abstractNumId w:val="19"/>
  </w:num>
  <w:num w:numId="36">
    <w:abstractNumId w:val="18"/>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D4721"/>
    <w:rsid w:val="000E0054"/>
    <w:rsid w:val="000F6C2D"/>
    <w:rsid w:val="00111D20"/>
    <w:rsid w:val="001144B6"/>
    <w:rsid w:val="00114A3B"/>
    <w:rsid w:val="0013263B"/>
    <w:rsid w:val="00146013"/>
    <w:rsid w:val="00163BFB"/>
    <w:rsid w:val="001661A0"/>
    <w:rsid w:val="0018197F"/>
    <w:rsid w:val="00190036"/>
    <w:rsid w:val="00192F86"/>
    <w:rsid w:val="001E1BA4"/>
    <w:rsid w:val="001E30BF"/>
    <w:rsid w:val="001F4EDC"/>
    <w:rsid w:val="00203023"/>
    <w:rsid w:val="00237035"/>
    <w:rsid w:val="00241E91"/>
    <w:rsid w:val="00261302"/>
    <w:rsid w:val="00264602"/>
    <w:rsid w:val="00271377"/>
    <w:rsid w:val="0027208C"/>
    <w:rsid w:val="00281E3A"/>
    <w:rsid w:val="0029016C"/>
    <w:rsid w:val="002A0204"/>
    <w:rsid w:val="002A3775"/>
    <w:rsid w:val="002A6F63"/>
    <w:rsid w:val="002B30CA"/>
    <w:rsid w:val="002D6780"/>
    <w:rsid w:val="002E3C95"/>
    <w:rsid w:val="002F51FC"/>
    <w:rsid w:val="00305FD1"/>
    <w:rsid w:val="00320083"/>
    <w:rsid w:val="00320B6F"/>
    <w:rsid w:val="00324B9F"/>
    <w:rsid w:val="003553CA"/>
    <w:rsid w:val="00365636"/>
    <w:rsid w:val="00372908"/>
    <w:rsid w:val="00373983"/>
    <w:rsid w:val="00373C18"/>
    <w:rsid w:val="003857FA"/>
    <w:rsid w:val="003B3511"/>
    <w:rsid w:val="003B77FC"/>
    <w:rsid w:val="003E79F6"/>
    <w:rsid w:val="00413278"/>
    <w:rsid w:val="00423E44"/>
    <w:rsid w:val="00426DEC"/>
    <w:rsid w:val="00433594"/>
    <w:rsid w:val="0045214C"/>
    <w:rsid w:val="00453919"/>
    <w:rsid w:val="00465451"/>
    <w:rsid w:val="00485533"/>
    <w:rsid w:val="00491C92"/>
    <w:rsid w:val="004D699A"/>
    <w:rsid w:val="004E33C2"/>
    <w:rsid w:val="004E3878"/>
    <w:rsid w:val="004E5492"/>
    <w:rsid w:val="004F3BF6"/>
    <w:rsid w:val="00500245"/>
    <w:rsid w:val="005019AB"/>
    <w:rsid w:val="00524B3F"/>
    <w:rsid w:val="00524FCA"/>
    <w:rsid w:val="00534553"/>
    <w:rsid w:val="00541E30"/>
    <w:rsid w:val="00577F18"/>
    <w:rsid w:val="00590E64"/>
    <w:rsid w:val="005D43C2"/>
    <w:rsid w:val="005D5A69"/>
    <w:rsid w:val="005F44F3"/>
    <w:rsid w:val="00601FD5"/>
    <w:rsid w:val="0060348A"/>
    <w:rsid w:val="00637A24"/>
    <w:rsid w:val="0066674E"/>
    <w:rsid w:val="006B06B7"/>
    <w:rsid w:val="006C51BC"/>
    <w:rsid w:val="006D197F"/>
    <w:rsid w:val="006D1F58"/>
    <w:rsid w:val="0070122C"/>
    <w:rsid w:val="00707F2C"/>
    <w:rsid w:val="00713C70"/>
    <w:rsid w:val="0072551D"/>
    <w:rsid w:val="00743062"/>
    <w:rsid w:val="007715B2"/>
    <w:rsid w:val="007859CB"/>
    <w:rsid w:val="00794E93"/>
    <w:rsid w:val="007952D8"/>
    <w:rsid w:val="007B69AC"/>
    <w:rsid w:val="007C4A7E"/>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85019"/>
    <w:rsid w:val="00992D78"/>
    <w:rsid w:val="009A7A9A"/>
    <w:rsid w:val="009B4A79"/>
    <w:rsid w:val="009C00CB"/>
    <w:rsid w:val="009E2897"/>
    <w:rsid w:val="009F34DE"/>
    <w:rsid w:val="00A00AFE"/>
    <w:rsid w:val="00A1472F"/>
    <w:rsid w:val="00A5129F"/>
    <w:rsid w:val="00A61719"/>
    <w:rsid w:val="00A62721"/>
    <w:rsid w:val="00A65970"/>
    <w:rsid w:val="00A765AA"/>
    <w:rsid w:val="00AA3CCE"/>
    <w:rsid w:val="00AC16DB"/>
    <w:rsid w:val="00AC188E"/>
    <w:rsid w:val="00AC44A3"/>
    <w:rsid w:val="00AF0353"/>
    <w:rsid w:val="00AF3461"/>
    <w:rsid w:val="00AF4AA7"/>
    <w:rsid w:val="00AF52F0"/>
    <w:rsid w:val="00B35933"/>
    <w:rsid w:val="00B44F29"/>
    <w:rsid w:val="00B53F24"/>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80B8F"/>
    <w:rsid w:val="00C96793"/>
    <w:rsid w:val="00CA27F3"/>
    <w:rsid w:val="00CA2D90"/>
    <w:rsid w:val="00CC16D4"/>
    <w:rsid w:val="00CE52CA"/>
    <w:rsid w:val="00CF3E58"/>
    <w:rsid w:val="00D46106"/>
    <w:rsid w:val="00D53DCF"/>
    <w:rsid w:val="00D7298B"/>
    <w:rsid w:val="00D85B56"/>
    <w:rsid w:val="00DA32B1"/>
    <w:rsid w:val="00DA7780"/>
    <w:rsid w:val="00DB1261"/>
    <w:rsid w:val="00DC6D36"/>
    <w:rsid w:val="00DD5EA6"/>
    <w:rsid w:val="00DE6BAB"/>
    <w:rsid w:val="00DF2C3D"/>
    <w:rsid w:val="00E00A2B"/>
    <w:rsid w:val="00E02D92"/>
    <w:rsid w:val="00E12F36"/>
    <w:rsid w:val="00E15A1A"/>
    <w:rsid w:val="00E1688B"/>
    <w:rsid w:val="00E2578B"/>
    <w:rsid w:val="00E310A0"/>
    <w:rsid w:val="00E31F91"/>
    <w:rsid w:val="00E422CD"/>
    <w:rsid w:val="00E56D37"/>
    <w:rsid w:val="00E75485"/>
    <w:rsid w:val="00E771B1"/>
    <w:rsid w:val="00E87549"/>
    <w:rsid w:val="00E91A11"/>
    <w:rsid w:val="00EB4350"/>
    <w:rsid w:val="00EC309A"/>
    <w:rsid w:val="00EE6F43"/>
    <w:rsid w:val="00F04F6B"/>
    <w:rsid w:val="00F07E29"/>
    <w:rsid w:val="00F12BA1"/>
    <w:rsid w:val="00F12CEE"/>
    <w:rsid w:val="00F168BD"/>
    <w:rsid w:val="00F410A5"/>
    <w:rsid w:val="00F43023"/>
    <w:rsid w:val="00F45291"/>
    <w:rsid w:val="00F57687"/>
    <w:rsid w:val="00F7795E"/>
    <w:rsid w:val="00F84851"/>
    <w:rsid w:val="00FB1D6D"/>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DF422-3995-4E71-BA23-23BBA014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ListParagraph">
    <w:name w:val="List Paragraph"/>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table" w:styleId="Tablaconcuadrcula">
    <w:name w:val="Table Grid"/>
    <w:basedOn w:val="Tablanormal"/>
    <w:uiPriority w:val="59"/>
    <w:rsid w:val="004E33C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8935">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aulaclic.es/sql/t_3_4.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tagena99.com/recursos/alumnos/apuntes/Manual-SQL1.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rmatica.uv.es/estguia/ATD/apuntes/teoria/documentos/SQL-I.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s.wikipedia.org/wiki/Sentencia_JOIN_en_SQ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letesql.com/viewtopic.php?f=5&amp;t=21"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939</Words>
  <Characters>5165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3</cp:revision>
  <dcterms:created xsi:type="dcterms:W3CDTF">2021-02-27T16:19:00Z</dcterms:created>
  <dcterms:modified xsi:type="dcterms:W3CDTF">2021-02-27T16:22:00Z</dcterms:modified>
</cp:coreProperties>
</file>