
<file path=[Content_Types].xml><?xml version="1.0" encoding="utf-8"?>
<Types xmlns="http://schemas.openxmlformats.org/package/2006/content-types">
  <Override PartName="/word/media/image3.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pPr>
      <w:r>
        <w:rPr>
          <w:smallCaps w:val="off"/>
          <w:caps w:val="off"/>
          <w:color w:val="000000"/>
          <w:sz w:val="24"/>
          <w:spacing w:val="0"/>
          <w:i w:val="off"/>
          <w:b/>
          <w:szCs w:val="24"/>
          <w:bCs/>
          <w:rFonts w:ascii="Times New Roman" w:hAnsi="Times New Roman"/>
        </w:rPr>
        <w:t>Final Report by Joshua Holbrook on Center for Global Change research project “Determining anisotropic thermal conductivity of snow with needle probe measurements” funded in 2010</w:t>
      </w:r>
    </w:p>
    <w:p>
      <w:pPr>
        <w:pStyle w:val="style0"/>
      </w:pPr>
      <w:r>
        <w:rPr>
          <w:sz w:val="24"/>
          <w:szCs w:val="24"/>
          <w:rFonts w:ascii="Times New Roman" w:hAnsi="Times New Roman"/>
        </w:rPr>
      </w:r>
    </w:p>
    <w:p>
      <w:pPr>
        <w:pStyle w:val="style0"/>
      </w:pPr>
      <w:r>
        <w:rPr>
          <w:sz w:val="24"/>
          <w:szCs w:val="24"/>
          <w:rFonts w:ascii="Times New Roman" w:hAnsi="Times New Roman"/>
        </w:rPr>
        <w:t xml:space="preserve">A new method for measuring thermal conductivity is being adapted from </w:t>
        <w:t>the method of measuring isotropic thermal conductivity in snow with needle</w:t>
        <w:t xml:space="preserve"> probes as used by Sturm, Johnson and others, in order to enable the</w:t>
        <w:t xml:space="preserve"> determination of anisotropic thermal conductivities.  </w:t>
      </w:r>
      <w:r>
        <w:rPr>
          <w:sz w:val="24"/>
          <w:i w:val="off"/>
          <w:szCs w:val="24"/>
          <w:iCs w:val="off"/>
          <w:rFonts w:ascii="Times New Roman" w:hAnsi="Times New Roman"/>
        </w:rPr>
        <w:t>[</w:t>
      </w:r>
      <w:r>
        <w:rPr>
          <w:sz w:val="24"/>
          <w:i/>
          <w:szCs w:val="24"/>
          <w:iCs/>
          <w:rFonts w:ascii="Times New Roman" w:hAnsi="Times New Roman"/>
        </w:rPr>
        <w:t>Sturm et al.(2002)Sturm, Perovich, and Holmgren,</w:t>
        <w:t xml:space="preserve"> Sturm and Johnson(1992)</w:t>
      </w:r>
      <w:r>
        <w:rPr>
          <w:sz w:val="24"/>
          <w:i w:val="off"/>
          <w:szCs w:val="24"/>
          <w:iCs w:val="off"/>
          <w:rFonts w:ascii="Times New Roman" w:hAnsi="Times New Roman"/>
        </w:rPr>
        <w:t>]</w:t>
      </w:r>
      <w:r>
        <w:rPr>
          <w:sz w:val="24"/>
          <w:szCs w:val="24"/>
          <w:rFonts w:ascii="Times New Roman" w:hAnsi="Times New Roman"/>
        </w:rPr>
        <w:t xml:space="preserve"> This</w:t>
        <w:t xml:space="preserve"> method has particular relevance to measuring thermal conductivity of natural</w:t>
        <w:t xml:space="preserve"> snowpacks where conductivity can be strongly anisotropic due to structures that</w:t>
        <w:t xml:space="preserve"> develop from vapor transport-induced metamorphism, self-compaction and other</w:t>
        <w:t xml:space="preserve"> mechanisms, and where there are known discrepancies between density-conductivity</w:t>
        <w:t xml:space="preserve"> relations empirically derived from guarded hot plate and needle probe methods;</w:t>
        <w:t xml:space="preserve"> In fact, these discrepancies are a prime motivator for this research, as</w:t>
        <w:t xml:space="preserve"> anisotropy could potentially explain them.</w:t>
      </w:r>
    </w:p>
    <w:p>
      <w:pPr>
        <w:pStyle w:val="style0"/>
      </w:pPr>
      <w:r>
        <w:rPr>
          <w:sz w:val="24"/>
          <w:szCs w:val="24"/>
          <w:rFonts w:ascii="Times New Roman" w:hAnsi="Times New Roman"/>
        </w:rPr>
      </w:r>
    </w:p>
    <w:p>
      <w:pPr>
        <w:pStyle w:val="style0"/>
      </w:pPr>
      <w:r>
        <w:rPr>
          <w:sz w:val="24"/>
          <w:szCs w:val="24"/>
          <w:rFonts w:ascii="Times New Roman" w:hAnsi="Times New Roman"/>
        </w:rPr>
        <w:t>Both analytically-based solutions and finite element numerical solutions to the</w:t>
        <w:t xml:space="preserve"> anisotropic case are used to calculate the expected effective thermal</w:t>
        <w:t xml:space="preserve"> conductivity as a function of anisotropic thermal conductivity and needle</w:t>
        <w:t xml:space="preserve"> orientation. The analytically-based solutions originate from modifications of </w:t>
      </w:r>
    </w:p>
    <w:p>
      <w:pPr>
        <w:pStyle w:val="style0"/>
      </w:pPr>
      <w:r>
        <w:rPr>
          <w:sz w:val="24"/>
          <w:szCs w:val="24"/>
          <w:rFonts w:ascii="Times New Roman" w:hAnsi="Times New Roman"/>
        </w:rPr>
        <w:t>the isotropic approach as detailed by Carslaw and Jeager, and do not account for</w:t>
        <w:t xml:space="preserve"> edge effects. [</w:t>
      </w:r>
      <w:r>
        <w:rPr>
          <w:sz w:val="24"/>
          <w:i/>
          <w:szCs w:val="24"/>
          <w:iCs/>
          <w:rFonts w:ascii="Times New Roman" w:hAnsi="Times New Roman"/>
        </w:rPr>
        <w:t>Carslaw and Jaeger (1959)</w:t>
      </w:r>
      <w:r>
        <w:rPr>
          <w:sz w:val="24"/>
          <w:szCs w:val="24"/>
          <w:rFonts w:ascii="Times New Roman" w:hAnsi="Times New Roman"/>
        </w:rPr>
        <w:t>] The finite element solutions are based on a 3D</w:t>
        <w:t xml:space="preserve"> geometry that models edge effects; However, the mesh used for the finite</w:t>
        <w:t xml:space="preserve"> element solutions is relatively coarse. The differences in trends between the</w:t>
        <w:t xml:space="preserve"> models may be seen in Figure 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20"/>
        <w:pBdr/>
        <w:framePr w:h="4248" w:hAnchor="margin" w:hRule="atLeast" w:hSpace="0" w:vAnchor="margin" w:vSpace="0" w:w="8242" w:wrap="none" w:x="745" w:y="102"/>
        <w:spacing w:after="120" w:before="120"/>
      </w:pPr>
      <w:r>
        <w:rPr/>
        <w:t xml:space="preserve">Figure </w:t>
        <w:drawing>
          <wp:inline distB="0" distL="0" distR="0" distT="0">
            <wp:extent cx="5233670" cy="2697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33670" cy="2697480"/>
                    </a:xfrm>
                    <a:prstGeom prst="rect">
                      <a:avLst/>
                    </a:prstGeom>
                    <a:noFill/>
                    <a:ln w="9525">
                      <a:noFill/>
                      <a:miter lim="800000"/>
                      <a:headEnd/>
                      <a:tailEnd/>
                    </a:ln>
                  </pic:spPr>
                </pic:pic>
              </a:graphicData>
            </a:graphic>
          </wp:inline>
        </w:drawing>
      </w:r>
      <w:r>
        <w:fldChar w:fldCharType="begin"/>
      </w:r>
      <w:r>
        <w:rPr/>
        <w:fldChar w:fldCharType="begin"/>
      </w:r>
      <w:r>
        <w:instrText> SEQ "Figure" \*Arabic </w:instrText>
      </w:r>
      <w:r>
        <w:fldChar w:fldCharType="separate"/>
      </w:r>
      <w:r>
        <w:t>1</w:t>
      </w:r>
      <w:r>
        <w:fldChar w:fldCharType="end"/>
      </w:r>
      <w:r>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pPr>
        <w:pStyle w:val="style0"/>
      </w:pPr>
      <w:r>
        <w:rPr>
          <w:sz w:val="24"/>
          <w:szCs w:val="24"/>
          <w:rFonts w:ascii="Times New Roman" w:hAnsi="Times New Roman"/>
        </w:rPr>
        <w:t>Additionally, preliminary measurements of both anisotropic salt/sugar</w:t>
        <w:t xml:space="preserve"> layered samples and of snow were taken. The anisotropic salt/sugar samples were</w:t>
        <w:t xml:space="preserve"> layered in roughly one inch thick layers at varying orientations relative to the</w:t>
        <w:t xml:space="preserve"> needle, while the snow measurements were taken with the needle at varying</w:t>
      </w:r>
    </w:p>
    <w:p>
      <w:pPr>
        <w:pStyle w:val="style0"/>
      </w:pPr>
      <w:r>
        <w:rPr>
          <w:sz w:val="24"/>
          <w:szCs w:val="24"/>
          <w:rFonts w:ascii="Times New Roman" w:hAnsi="Times New Roman"/>
        </w:rPr>
        <w:t>orientations relative to the snowpack's horizontal plane.</w:t>
      </w:r>
    </w:p>
    <w:p>
      <w:pPr>
        <w:pStyle w:val="style0"/>
      </w:pPr>
      <w:r>
        <w:rPr>
          <w:sz w:val="24"/>
          <w:szCs w:val="24"/>
          <w:rFonts w:ascii="Times New Roman" w:hAnsi="Times New Roman"/>
        </w:rPr>
      </w:r>
    </w:p>
    <w:p>
      <w:pPr>
        <w:pStyle w:val="style0"/>
      </w:pPr>
      <w:r>
        <w:rPr>
          <w:sz w:val="24"/>
          <w:szCs w:val="24"/>
          <w:rFonts w:ascii="Times New Roman" w:hAnsi="Times New Roman"/>
        </w:rPr>
        <w:t>Both models and measurements suggest that detecting anisotropy</w:t>
        <w:t xml:space="preserve"> in such materials is possible, though made difficult by variability between</w:t>
        <w:t xml:space="preserve"> measurements and the requirement of multiple measurements at various angles.</w:t>
        <w:t xml:space="preserve"> Further measurements will be required in order to develop a statistically sound</w:t>
        <w:t xml:space="preserve"> sample set, and further modeling will be required in order to establish a</w:t>
        <w:t xml:space="preserve"> sufficiently accurate model.</w:t>
      </w:r>
    </w:p>
    <w:p>
      <w:pPr>
        <w:pStyle w:val="style0"/>
      </w:pPr>
      <w:r>
        <w:rPr>
          <w:sz w:val="24"/>
          <w:szCs w:val="24"/>
          <w:rFonts w:ascii="Times New Roman" w:hAnsi="Times New Roman"/>
        </w:rPr>
      </w:r>
    </w:p>
    <w:p>
      <w:pPr>
        <w:pStyle w:val="style0"/>
      </w:pPr>
      <w:r>
        <w:rPr>
          <w:sz w:val="24"/>
          <w:szCs w:val="24"/>
          <w:rFonts w:ascii="Times New Roman" w:hAnsi="Times New Roman"/>
        </w:rPr>
        <w:t>These studies do suggest that anisotropy in snow may be able to explain in part</w:t>
        <w:t xml:space="preserve"> the discrepancies between guarded hot plate and needle probe measurements in </w:t>
        <w:t xml:space="preserve"> certain cases. In the case of alternating layers of snow, vertical conductivity</w:t>
        <w:t xml:space="preserve"> is always greater than horizontal conductivity due to the geometry of the</w:t>
        <w:t xml:space="preserve"> composite material, which would be expected to cause the opposite trend from</w:t>
        <w:t xml:space="preserve"> what is seen in the guarded hot plate/needle probe discrepancies.</w:t>
        <w:t xml:space="preserve"> [</w:t>
      </w:r>
      <w:r>
        <w:rPr>
          <w:sz w:val="24"/>
          <w:i/>
          <w:szCs w:val="24"/>
          <w:iCs/>
          <w:rFonts w:ascii="Times New Roman" w:hAnsi="Times New Roman"/>
        </w:rPr>
        <w:t>Lunardini (1981)</w:t>
      </w:r>
      <w:r>
        <w:rPr>
          <w:sz w:val="24"/>
          <w:szCs w:val="24"/>
          <w:rFonts w:ascii="Times New Roman" w:hAnsi="Times New Roman"/>
        </w:rPr>
        <w:t>]</w:t>
        <w:t xml:space="preserve"> However, structural anisotropy, which may be caused by vapor</w:t>
        <w:t xml:space="preserve"> transport, could be sufficient explain the differences.</w:t>
      </w:r>
    </w:p>
    <w:p>
      <w:pPr>
        <w:pStyle w:val="style0"/>
      </w:pPr>
      <w:r>
        <w:rPr>
          <w:sz w:val="24"/>
          <w:szCs w:val="24"/>
          <w:rFonts w:ascii="Times New Roman" w:hAnsi="Times New Roman"/>
        </w:rPr>
      </w:r>
    </w:p>
    <w:p>
      <w:pPr>
        <w:pStyle w:val="style0"/>
      </w:pPr>
      <w:r>
        <w:rPr>
          <w:sz w:val="24"/>
          <w:b/>
          <w:szCs w:val="24"/>
          <w:bCs/>
          <w:rFonts w:ascii="Times New Roman" w:hAnsi="Times New Roman"/>
        </w:rPr>
        <w:t>References:</w:t>
      </w:r>
    </w:p>
    <w:p>
      <w:pPr>
        <w:pStyle w:val="style0"/>
      </w:pPr>
      <w:r>
        <w:rPr>
          <w:sz w:val="24"/>
          <w:szCs w:val="24"/>
          <w:rFonts w:ascii="Times New Roman" w:hAnsi="Times New Roman"/>
        </w:rPr>
      </w:r>
    </w:p>
    <w:p>
      <w:pPr>
        <w:pStyle w:val="style0"/>
      </w:pPr>
      <w:r>
        <w:rPr>
          <w:sz w:val="24"/>
          <w:szCs w:val="24"/>
          <w:rFonts w:ascii="Times New Roman" w:hAnsi="Times New Roman"/>
        </w:rPr>
        <w:t>[Carslaw and Jaeger (1959)] Carslaw, H., and J. Jaeger (1959), Conduction of</w:t>
        <w:t xml:space="preserve"> Heat in Solids, 2nd ed., Oxford University Press.</w:t>
      </w:r>
    </w:p>
    <w:p>
      <w:pPr>
        <w:pStyle w:val="style0"/>
      </w:pPr>
      <w:r>
        <w:rPr>
          <w:sz w:val="24"/>
          <w:szCs w:val="24"/>
          <w:rFonts w:ascii="Times New Roman" w:hAnsi="Times New Roman"/>
        </w:rPr>
      </w:r>
    </w:p>
    <w:p>
      <w:pPr>
        <w:pStyle w:val="style0"/>
      </w:pPr>
      <w:r>
        <w:rPr>
          <w:sz w:val="24"/>
          <w:szCs w:val="24"/>
          <w:rFonts w:ascii="Times New Roman" w:hAnsi="Times New Roman"/>
        </w:rPr>
        <w:t>[Lunardini (1981)] Lunardini, V. J. (1981), Heat Transfer in Cold Climates, Van</w:t>
        <w:t xml:space="preserve"> Nostrand Reinhold Company.</w:t>
      </w:r>
    </w:p>
    <w:p>
      <w:pPr>
        <w:pStyle w:val="style0"/>
      </w:pPr>
      <w:r>
        <w:rPr>
          <w:sz w:val="24"/>
          <w:szCs w:val="24"/>
          <w:rFonts w:ascii="Times New Roman" w:hAnsi="Times New Roman"/>
        </w:rPr>
      </w:r>
    </w:p>
    <w:p>
      <w:pPr>
        <w:pStyle w:val="style0"/>
      </w:pPr>
      <w:r>
        <w:rPr>
          <w:sz w:val="24"/>
          <w:szCs w:val="24"/>
          <w:rFonts w:ascii="Times New Roman" w:hAnsi="Times New Roman"/>
        </w:rPr>
        <w:t>[Sturm and Johnson(1992)] Sturm, M., and J. B. Johnson (1992), Thermal Conductivity Measurements of Depth Hoar, Journal of Geophysical Research,</w:t>
        <w:t xml:space="preserve"> 97 (B2), 2129–2139.</w:t>
      </w:r>
    </w:p>
    <w:p>
      <w:pPr>
        <w:pStyle w:val="style0"/>
      </w:pPr>
      <w:r>
        <w:rPr>
          <w:sz w:val="24"/>
          <w:szCs w:val="24"/>
          <w:rFonts w:ascii="Times New Roman" w:hAnsi="Times New Roman"/>
        </w:rPr>
      </w:r>
    </w:p>
    <w:p>
      <w:pPr>
        <w:pStyle w:val="style0"/>
      </w:pPr>
      <w:r>
        <w:rPr>
          <w:sz w:val="24"/>
          <w:szCs w:val="24"/>
          <w:rFonts w:ascii="Times New Roman" w:hAnsi="Times New Roman"/>
        </w:rPr>
        <w:t>[Sturm et al.(2002)Sturm, Perovich, and Holmgren] Sturm, M., D. K. Perovich, and J. Holmgren (2002), Thermal Conductivity and Heat Transfer</w:t>
        <w:t xml:space="preserve"> Through the Snow on the Ice of the Beaufort Sea, Journal of Geophysical</w:t>
        <w:t xml:space="preserve"> Research, 107 (C21).</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roid Sans Fallback" w:hAnsi="Times New Roman"/>
      <w:lang w:bidi="hi-IN" w:eastAsia="zh-CN" w:val="en-US"/>
    </w:rPr>
  </w:style>
  <w:style w:styleId="style15" w:type="paragraph">
    <w:name w:val="Heading"/>
    <w:basedOn w:val="style0"/>
    <w:next w:val="style16"/>
    <w:pPr>
      <w:keepNext/>
      <w:spacing w:after="120" w:before="240"/>
    </w:pPr>
    <w:rPr>
      <w:sz w:val="28"/>
      <w:szCs w:val="28"/>
      <w:rFonts w:ascii="Arial" w:cs="Lohit Hindi" w:eastAsia="Droid Sans Fallback"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 w:styleId="style20" w:type="paragraph">
    <w:name w:val="Figure"/>
    <w:basedOn w:val="style18"/>
    <w:next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2011-05-20T15:53:41.00Z</dcterms:created>
  <dc:creator>Joshua Holbrook</dc:creator>
  <cp:revision>0</cp:revision>
</cp:coreProperties>
</file>