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02e769ab8e7fad320c1f71faa3f8db5c3ba518"/>
    <w:p>
      <w:pPr>
        <w:pStyle w:val="Heading1"/>
      </w:pPr>
      <w:r>
        <w:t xml:space="preserve">Creación de una Unidad de Evaluación Neuropsicológica de Adultos especializada en Daño Cerebral Adquirido</w:t>
      </w:r>
    </w:p>
    <w:p>
      <w:pPr>
        <w:pStyle w:val="FirstParagraph"/>
      </w:pPr>
      <w:r>
        <w:rPr>
          <w:b/>
          <w:bCs/>
        </w:rPr>
        <w:t xml:space="preserve">Asignatura:</w:t>
      </w:r>
      <w:r>
        <w:t xml:space="preserve"> </w:t>
      </w:r>
      <w:r>
        <w:t xml:space="preserve">Neuropsicología Clínica II — Actividad 3 (proyecto transversal grupal)</w:t>
      </w:r>
      <w:r>
        <w:t xml:space="preserve"> </w:t>
      </w:r>
      <w:r>
        <w:rPr>
          <w:b/>
          <w:bCs/>
        </w:rPr>
        <w:t xml:space="preserve">Autores:</w:t>
      </w:r>
      <w:r>
        <w:t xml:space="preserve"> </w:t>
      </w:r>
      <w:r>
        <w:t xml:space="preserve">Equipo de proyecto</w:t>
      </w:r>
      <w:r>
        <w:t xml:space="preserve"> </w:t>
      </w:r>
      <w:r>
        <w:rPr>
          <w:b/>
          <w:bCs/>
        </w:rPr>
        <w:t xml:space="preserve">Fecha:</w:t>
      </w:r>
      <w:r>
        <w:t xml:space="preserve"> </w:t>
      </w:r>
      <w:r>
        <w:t xml:space="preserve">2026</w:t>
      </w:r>
    </w:p>
    <w:p>
      <w:r>
        <w:pict>
          <v:rect style="width:0;height:1.5pt" o:hralign="center" o:hrstd="t" o:hr="t"/>
        </w:pict>
      </w:r>
    </w:p>
    <w:bookmarkStart w:id="9" w:name="justificación-y-descripción-del-proyecto"/>
    <w:p>
      <w:pPr>
        <w:pStyle w:val="Heading2"/>
      </w:pPr>
      <w:r>
        <w:t xml:space="preserve">1. Justificación y descripción del proyecto</w:t>
      </w:r>
    </w:p>
    <w:p>
      <w:pPr>
        <w:pStyle w:val="FirstParagraph"/>
      </w:pPr>
      <w:r>
        <w:t xml:space="preserve">El presente proyecto plantea la puesta en marcha de</w:t>
      </w:r>
      <w:r>
        <w:t xml:space="preserve"> </w:t>
      </w:r>
      <w:r>
        <w:rPr>
          <w:b/>
          <w:bCs/>
        </w:rPr>
        <w:t xml:space="preserve">NeuroAdulto</w:t>
      </w:r>
      <w:r>
        <w:t xml:space="preserve">, una unidad clínica de evaluación neuropsicológica de adultos especializada en</w:t>
      </w:r>
      <w:r>
        <w:t xml:space="preserve"> </w:t>
      </w:r>
      <w:r>
        <w:rPr>
          <w:b/>
          <w:bCs/>
        </w:rPr>
        <w:t xml:space="preserve">Daño Cerebral Adquirido (DCA)</w:t>
      </w:r>
      <w:r>
        <w:t xml:space="preserve">: ictus, traumatismo craneoencefálico, encefalopatías anóxicas y tumores cerebrales. La elección del DCA como eje de especialización responde a tres razones:</w:t>
      </w:r>
    </w:p>
    <w:p>
      <w:pPr>
        <w:pStyle w:val="Compact"/>
        <w:numPr>
          <w:ilvl w:val="0"/>
          <w:numId w:val="1001"/>
        </w:numPr>
      </w:pPr>
      <w:r>
        <w:rPr>
          <w:b/>
          <w:bCs/>
        </w:rPr>
        <w:t xml:space="preserve">Prevalencia y demanda no cubierta</w:t>
      </w:r>
      <w:r>
        <w:t xml:space="preserve">: en España se estima una incidencia anual cercana a 100.000 casos nuevos de ictus y 20.000 de TCE moderado-grave (FEDACE, 2021), con saturación crónica de los servicios públicos de neuropsicología hospitalaria.</w:t>
      </w:r>
    </w:p>
    <w:p>
      <w:pPr>
        <w:pStyle w:val="Compact"/>
        <w:numPr>
          <w:ilvl w:val="0"/>
          <w:numId w:val="1001"/>
        </w:numPr>
      </w:pPr>
      <w:r>
        <w:rPr>
          <w:b/>
          <w:bCs/>
        </w:rPr>
        <w:t xml:space="preserve">Impacto funcional alto y heterogéneo</w:t>
      </w:r>
      <w:r>
        <w:t xml:space="preserve">: el DCA combina déficits cognitivos (atención, memoria, función ejecutiva), perceptivos (gnosias, praxias), del lenguaje y alteraciones emocional-conductuales, lo que exige una evaluación amplia e integradora.</w:t>
      </w:r>
    </w:p>
    <w:p>
      <w:pPr>
        <w:pStyle w:val="Compact"/>
        <w:numPr>
          <w:ilvl w:val="0"/>
          <w:numId w:val="1001"/>
        </w:numPr>
      </w:pPr>
      <w:r>
        <w:rPr>
          <w:b/>
          <w:bCs/>
        </w:rPr>
        <w:t xml:space="preserve">Encaje pedagógico con el perfil del máster</w:t>
      </w:r>
      <w:r>
        <w:t xml:space="preserve">: la formación clínica de UNIR en evaluación de adultos cubre con detalle los protocolos aplicables al DCA, permitiendo un servicio con calidad asistencial contrastada.</w:t>
      </w:r>
    </w:p>
    <w:p>
      <w:pPr>
        <w:pStyle w:val="FirstParagraph"/>
      </w:pPr>
      <w:r>
        <w:t xml:space="preserve">NeuroAdulto se concibe como un</w:t>
      </w:r>
      <w:r>
        <w:t xml:space="preserve"> </w:t>
      </w:r>
      <w:r>
        <w:rPr>
          <w:b/>
          <w:bCs/>
        </w:rPr>
        <w:t xml:space="preserve">centro privado con vocación concertada</w:t>
      </w:r>
      <w:r>
        <w:t xml:space="preserve">, abierto a derivaciones de neurología hospitalaria, atención primaria, mutuas y demanda directa de paciente/familia. La misión: ofrecer evaluación neuropsicológica completa, ágil (informe en ≤15 días) e interdisciplinar, que sirva como punto de partida del proceso rehabilitador.</w:t>
      </w:r>
    </w:p>
    <w:bookmarkEnd w:id="9"/>
    <w:bookmarkStart w:id="10" w:name="X83bf9098730fb100ff124b837a37f76ee950425"/>
    <w:p>
      <w:pPr>
        <w:pStyle w:val="Heading2"/>
      </w:pPr>
      <w:r>
        <w:t xml:space="preserve">2. Población diana y perfil neuropsicológico</w:t>
      </w:r>
    </w:p>
    <w:p>
      <w:pPr>
        <w:pStyle w:val="FirstParagraph"/>
      </w:pPr>
      <w:r>
        <w:t xml:space="preserve">NeuroAdulto atiende a personas adultas (18-75 años) con sospecha o diagnóstico confirmado de DCA. El</w:t>
      </w:r>
      <w:r>
        <w:t xml:space="preserve"> </w:t>
      </w:r>
      <w:r>
        <w:rPr>
          <w:b/>
          <w:bCs/>
        </w:rPr>
        <w:t xml:space="preserve">perfil neuropsicológico</w:t>
      </w:r>
      <w:r>
        <w:t xml:space="preserve"> </w:t>
      </w:r>
      <w:r>
        <w:t xml:space="preserve">del DCA presenta los siguientes dominios habitualmente comprometidos, que orientan el protocolo (sección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Dominio</w:t>
            </w:r>
          </w:p>
        </w:tc>
        <w:tc>
          <w:tcPr/>
          <w:p>
            <w:pPr>
              <w:pStyle w:val="Compact"/>
            </w:pPr>
            <w:r>
              <w:t xml:space="preserve">Manifestación típica en DCA</w:t>
            </w:r>
          </w:p>
        </w:tc>
      </w:tr>
      <w:tr>
        <w:tc>
          <w:tcPr/>
          <w:p>
            <w:pPr>
              <w:pStyle w:val="Compact"/>
            </w:pPr>
            <w:r>
              <w:t xml:space="preserve">Atención y velocidad de procesamiento</w:t>
            </w:r>
          </w:p>
        </w:tc>
        <w:tc>
          <w:tcPr/>
          <w:p>
            <w:pPr>
              <w:pStyle w:val="Compact"/>
            </w:pPr>
            <w:r>
              <w:t xml:space="preserve">Fatigabilidad, hipoatención sostenida, enlentecimiento</w:t>
            </w:r>
          </w:p>
        </w:tc>
      </w:tr>
      <w:tr>
        <w:tc>
          <w:tcPr/>
          <w:p>
            <w:pPr>
              <w:pStyle w:val="Compact"/>
            </w:pPr>
            <w:r>
              <w:t xml:space="preserve">Memoria episódica y de trabajo</w:t>
            </w:r>
          </w:p>
        </w:tc>
        <w:tc>
          <w:tcPr/>
          <w:p>
            <w:pPr>
              <w:pStyle w:val="Compact"/>
            </w:pPr>
            <w:r>
              <w:t xml:space="preserve">Amnesia anterógrada, dificultades de codificación, intrusiones</w:t>
            </w:r>
          </w:p>
        </w:tc>
      </w:tr>
      <w:tr>
        <w:tc>
          <w:tcPr/>
          <w:p>
            <w:pPr>
              <w:pStyle w:val="Compact"/>
            </w:pPr>
            <w:r>
              <w:t xml:space="preserve">Funciones ejecutivas</w:t>
            </w:r>
          </w:p>
        </w:tc>
        <w:tc>
          <w:tcPr/>
          <w:p>
            <w:pPr>
              <w:pStyle w:val="Compact"/>
            </w:pPr>
            <w:r>
              <w:t xml:space="preserve">Desinhibición, perseveración, déficit de planificación</w:t>
            </w:r>
          </w:p>
        </w:tc>
      </w:tr>
      <w:tr>
        <w:tc>
          <w:tcPr/>
          <w:p>
            <w:pPr>
              <w:pStyle w:val="Compact"/>
            </w:pPr>
            <w:r>
              <w:t xml:space="preserve">Lenguaje</w:t>
            </w:r>
          </w:p>
        </w:tc>
        <w:tc>
          <w:tcPr/>
          <w:p>
            <w:pPr>
              <w:pStyle w:val="Compact"/>
            </w:pPr>
            <w:r>
              <w:t xml:space="preserve">Anomia, afasias (frecuentes en ictus de hemisferio izquierdo)</w:t>
            </w:r>
          </w:p>
        </w:tc>
      </w:tr>
      <w:tr>
        <w:tc>
          <w:tcPr/>
          <w:p>
            <w:pPr>
              <w:pStyle w:val="Compact"/>
            </w:pPr>
            <w:r>
              <w:t xml:space="preserve">Gnosias y praxias</w:t>
            </w:r>
          </w:p>
        </w:tc>
        <w:tc>
          <w:tcPr/>
          <w:p>
            <w:pPr>
              <w:pStyle w:val="Compact"/>
            </w:pPr>
            <w:r>
              <w:t xml:space="preserve">Agnosia visual, apraxia ideomotora/ideatoria (Cubelli, 1995)</w:t>
            </w:r>
          </w:p>
        </w:tc>
      </w:tr>
      <w:tr>
        <w:tc>
          <w:tcPr/>
          <w:p>
            <w:pPr>
              <w:pStyle w:val="Compact"/>
            </w:pPr>
            <w:r>
              <w:t xml:space="preserve">Cognición social</w:t>
            </w:r>
          </w:p>
        </w:tc>
        <w:tc>
          <w:tcPr/>
          <w:p>
            <w:pPr>
              <w:pStyle w:val="Compact"/>
            </w:pPr>
            <w:r>
              <w:t xml:space="preserve">Deterioro de teoría de la mente y reconocimiento emocional</w:t>
            </w:r>
          </w:p>
        </w:tc>
      </w:tr>
      <w:tr>
        <w:tc>
          <w:tcPr/>
          <w:p>
            <w:pPr>
              <w:pStyle w:val="Compact"/>
            </w:pPr>
            <w:r>
              <w:t xml:space="preserve">Emoción y conducta</w:t>
            </w:r>
          </w:p>
        </w:tc>
        <w:tc>
          <w:tcPr/>
          <w:p>
            <w:pPr>
              <w:pStyle w:val="Compact"/>
            </w:pPr>
            <w:r>
              <w:t xml:space="preserve">Depresión post-ictus, apatía, irritabilidad, ansiedad</w:t>
            </w:r>
          </w:p>
        </w:tc>
      </w:tr>
    </w:tbl>
    <w:p>
      <w:pPr>
        <w:pStyle w:val="BodyText"/>
      </w:pPr>
      <w:r>
        <w:t xml:space="preserve">Adicionalmente, la unidad recoge</w:t>
      </w:r>
      <w:r>
        <w:t xml:space="preserve"> </w:t>
      </w:r>
      <w:r>
        <w:rPr>
          <w:b/>
          <w:bCs/>
        </w:rPr>
        <w:t xml:space="preserve">comorbilidades psicosociales</w:t>
      </w:r>
      <w:r>
        <w:t xml:space="preserve"> </w:t>
      </w:r>
      <w:r>
        <w:t xml:space="preserve">(cambios de rol familiar, pérdida de autonomía, riesgo laboral) que condicionan la devolución de resultados y la planificación rehabilitadora.</w:t>
      </w:r>
    </w:p>
    <w:bookmarkEnd w:id="10"/>
    <w:bookmarkStart w:id="11" w:name="Xdcaf13b4d0e43814f4d343a49739e9a52f2f78b"/>
    <w:p>
      <w:pPr>
        <w:pStyle w:val="Heading2"/>
      </w:pPr>
      <w:r>
        <w:t xml:space="preserve">3. Unidades, servicios y organigrama del centro</w:t>
      </w:r>
    </w:p>
    <w:p>
      <w:pPr>
        <w:pStyle w:val="FirstParagraph"/>
      </w:pPr>
      <w:r>
        <w:t xml:space="preserve">NeuroAdulto se estructura en cuatro unidades funcionales coordinadas por un neuropsicólogo clínico responsable:</w:t>
      </w:r>
    </w:p>
    <w:p>
      <w:pPr>
        <w:pStyle w:val="Compact"/>
        <w:numPr>
          <w:ilvl w:val="0"/>
          <w:numId w:val="1002"/>
        </w:numPr>
      </w:pPr>
      <w:r>
        <w:rPr>
          <w:b/>
          <w:bCs/>
        </w:rPr>
        <w:t xml:space="preserve">Unidad de Acogida y Anamnesis (UAA):</w:t>
      </w:r>
      <w:r>
        <w:t xml:space="preserve"> </w:t>
      </w:r>
      <w:r>
        <w:t xml:space="preserve">primera consulta, recogida de historia clínica, revisión documental, definición del objetivo evaluador.</w:t>
      </w:r>
    </w:p>
    <w:p>
      <w:pPr>
        <w:pStyle w:val="Compact"/>
        <w:numPr>
          <w:ilvl w:val="0"/>
          <w:numId w:val="1002"/>
        </w:numPr>
      </w:pPr>
      <w:r>
        <w:rPr>
          <w:b/>
          <w:bCs/>
        </w:rPr>
        <w:t xml:space="preserve">Unidad de Evaluación Neuropsicológica (UEN):</w:t>
      </w:r>
      <w:r>
        <w:t xml:space="preserve"> </w:t>
      </w:r>
      <w:r>
        <w:t xml:space="preserve">aplicación del protocolo cognitivo, conductual y emocional. Cuenta con dos consultas de evaluación equipadas con material psicométrico estandarizado y software específico.</w:t>
      </w:r>
    </w:p>
    <w:p>
      <w:pPr>
        <w:pStyle w:val="Compact"/>
        <w:numPr>
          <w:ilvl w:val="0"/>
          <w:numId w:val="1002"/>
        </w:numPr>
      </w:pPr>
      <w:r>
        <w:rPr>
          <w:b/>
          <w:bCs/>
        </w:rPr>
        <w:t xml:space="preserve">Unidad de Informe y Devolución (UID):</w:t>
      </w:r>
      <w:r>
        <w:t xml:space="preserve"> </w:t>
      </w:r>
      <w:r>
        <w:t xml:space="preserve">elaboración del informe, sesión de devolución de resultados al paciente y a la familia, derivación a recursos rehabilitadores.</w:t>
      </w:r>
    </w:p>
    <w:p>
      <w:pPr>
        <w:pStyle w:val="Compact"/>
        <w:numPr>
          <w:ilvl w:val="0"/>
          <w:numId w:val="1002"/>
        </w:numPr>
      </w:pPr>
      <w:r>
        <w:rPr>
          <w:b/>
          <w:bCs/>
        </w:rPr>
        <w:t xml:space="preserve">Unidad de Coordinación Interdisciplinar (UCI):</w:t>
      </w:r>
      <w:r>
        <w:t xml:space="preserve"> </w:t>
      </w:r>
      <w:r>
        <w:t xml:space="preserve">enlace con neurología, fisioterapia, logopedia y trabajo social. Lidera la red de derivaciones externas y supervisa la calidad clínica.</w:t>
      </w:r>
    </w:p>
    <w:p>
      <w:pPr>
        <w:pStyle w:val="FirstParagraph"/>
      </w:pPr>
      <w:r>
        <w:t xml:space="preserve">Servicios ofertados: (i) evaluación neuropsicológica completa para DCA, (ii) evaluación dirigida (segunda opinión, evaluación pericial, valoración pre/post-quirúrgica), (iii) reevaluación de seguimiento, (iv) informes para mutuas y servicios sociales, y (v) talleres psicoeducativos para familias.</w:t>
      </w:r>
    </w:p>
    <w:bookmarkEnd w:id="11"/>
    <w:bookmarkStart w:id="12" w:name="procedimiento-de-evaluación"/>
    <w:p>
      <w:pPr>
        <w:pStyle w:val="Heading2"/>
      </w:pPr>
      <w:r>
        <w:t xml:space="preserve">4. Procedimiento de evaluación</w:t>
      </w:r>
    </w:p>
    <w:p>
      <w:pPr>
        <w:pStyle w:val="FirstParagraph"/>
      </w:pPr>
      <w:r>
        <w:t xml:space="preserve">El proceso evaluador se organiza en</w:t>
      </w:r>
      <w:r>
        <w:t xml:space="preserve"> </w:t>
      </w:r>
      <w:r>
        <w:rPr>
          <w:b/>
          <w:bCs/>
        </w:rPr>
        <w:t xml:space="preserve">cuatro fases</w:t>
      </w:r>
      <w:r>
        <w:t xml:space="preserve"> </w:t>
      </w:r>
      <w:r>
        <w:t xml:space="preserve">secuenciales, con duración y responsable explícitos: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Contenido</w:t>
            </w:r>
          </w:p>
        </w:tc>
        <w:tc>
          <w:tcPr/>
          <w:p>
            <w:pPr>
              <w:pStyle w:val="Compact"/>
            </w:pPr>
            <w:r>
              <w:t xml:space="preserve">Duración</w:t>
            </w:r>
          </w:p>
        </w:tc>
        <w:tc>
          <w:tcPr/>
          <w:p>
            <w:pPr>
              <w:pStyle w:val="Compact"/>
            </w:pPr>
            <w:r>
              <w:t xml:space="preserve">Responsable</w:t>
            </w:r>
          </w:p>
        </w:tc>
      </w:tr>
      <w:tr>
        <w:tc>
          <w:tcPr/>
          <w:p>
            <w:pPr>
              <w:pStyle w:val="Compact"/>
            </w:pPr>
            <w:r>
              <w:t xml:space="preserve">1. Anamnesis</w:t>
            </w:r>
          </w:p>
        </w:tc>
        <w:tc>
          <w:tcPr/>
          <w:p>
            <w:pPr>
              <w:pStyle w:val="Compact"/>
            </w:pPr>
            <w:r>
              <w:t xml:space="preserve">Historia clínica completa, antecedentes neurológicos y psiquiátricos, situación funcional premórbida, motivo de consulta, expectativas, consentimiento informado</w:t>
            </w:r>
          </w:p>
        </w:tc>
        <w:tc>
          <w:tcPr/>
          <w:p>
            <w:pPr>
              <w:pStyle w:val="Compact"/>
            </w:pPr>
            <w:r>
              <w:t xml:space="preserve">60-90 min (1 sesión)</w:t>
            </w:r>
          </w:p>
        </w:tc>
        <w:tc>
          <w:tcPr/>
          <w:p>
            <w:pPr>
              <w:pStyle w:val="Compact"/>
            </w:pPr>
            <w:r>
              <w:t xml:space="preserve">Neuropsicólogo UAA</w:t>
            </w:r>
          </w:p>
        </w:tc>
      </w:tr>
      <w:tr>
        <w:tc>
          <w:tcPr/>
          <w:p>
            <w:pPr>
              <w:pStyle w:val="Compact"/>
            </w:pPr>
            <w:r>
              <w:t xml:space="preserve">2. Exploración y evaluación</w:t>
            </w:r>
          </w:p>
        </w:tc>
        <w:tc>
          <w:tcPr/>
          <w:p>
            <w:pPr>
              <w:pStyle w:val="Compact"/>
            </w:pPr>
            <w:r>
              <w:t xml:space="preserve">Aplicación del protocolo (sección 5) en 2-3 sesiones, con descansos para evitar contaminación por fatiga</w:t>
            </w:r>
          </w:p>
        </w:tc>
        <w:tc>
          <w:tcPr/>
          <w:p>
            <w:pPr>
              <w:pStyle w:val="Compact"/>
            </w:pPr>
            <w:r>
              <w:t xml:space="preserve">2-3 sesiones de 90 min</w:t>
            </w:r>
          </w:p>
        </w:tc>
        <w:tc>
          <w:tcPr/>
          <w:p>
            <w:pPr>
              <w:pStyle w:val="Compact"/>
            </w:pPr>
            <w:r>
              <w:t xml:space="preserve">Neuropsicólogo UEN</w:t>
            </w:r>
          </w:p>
        </w:tc>
      </w:tr>
      <w:tr>
        <w:tc>
          <w:tcPr/>
          <w:p>
            <w:pPr>
              <w:pStyle w:val="Compact"/>
            </w:pPr>
            <w:r>
              <w:t xml:space="preserve">3. Juicio clínico</w:t>
            </w:r>
          </w:p>
        </w:tc>
        <w:tc>
          <w:tcPr/>
          <w:p>
            <w:pPr>
              <w:pStyle w:val="Compact"/>
            </w:pPr>
            <w:r>
              <w:t xml:space="preserve">Integración cualitativa y cuantitativa de los resultados, interpretación según baremos normativos, formulación diagnóstica y de pronóstico funcional</w:t>
            </w:r>
          </w:p>
        </w:tc>
        <w:tc>
          <w:tcPr/>
          <w:p>
            <w:pPr>
              <w:pStyle w:val="Compact"/>
            </w:pPr>
            <w:r>
              <w:t xml:space="preserve">3-5 días no presenciales</w:t>
            </w:r>
          </w:p>
        </w:tc>
        <w:tc>
          <w:tcPr/>
          <w:p>
            <w:pPr>
              <w:pStyle w:val="Compact"/>
            </w:pPr>
            <w:r>
              <w:t xml:space="preserve">Neuropsicólogo responsable + supervisión interdisciplinar</w:t>
            </w:r>
          </w:p>
        </w:tc>
      </w:tr>
      <w:tr>
        <w:tc>
          <w:tcPr/>
          <w:p>
            <w:pPr>
              <w:pStyle w:val="Compact"/>
            </w:pPr>
            <w:r>
              <w:t xml:space="preserve">4. Devolución e informe</w:t>
            </w:r>
          </w:p>
        </w:tc>
        <w:tc>
          <w:tcPr/>
          <w:p>
            <w:pPr>
              <w:pStyle w:val="Compact"/>
            </w:pPr>
            <w:r>
              <w:t xml:space="preserve">Entrega presencial del informe en sesión clínica con paciente y familia: explicación accesible, resolución de dudas, plan de derivaciones</w:t>
            </w:r>
          </w:p>
        </w:tc>
        <w:tc>
          <w:tcPr/>
          <w:p>
            <w:pPr>
              <w:pStyle w:val="Compact"/>
            </w:pPr>
            <w:r>
              <w:t xml:space="preserve">60 min + informe escrito</w:t>
            </w:r>
          </w:p>
        </w:tc>
        <w:tc>
          <w:tcPr/>
          <w:p>
            <w:pPr>
              <w:pStyle w:val="Compact"/>
            </w:pPr>
            <w:r>
              <w:t xml:space="preserve">Neuropsicólogo UID</w:t>
            </w:r>
          </w:p>
        </w:tc>
      </w:tr>
    </w:tbl>
    <w:p>
      <w:pPr>
        <w:pStyle w:val="BodyText"/>
      </w:pPr>
      <w:r>
        <w:rPr>
          <w:b/>
          <w:bCs/>
        </w:rPr>
        <w:t xml:space="preserve">Aspectos clave de la anamnesis</w:t>
      </w:r>
      <w:r>
        <w:t xml:space="preserve">: motivo de consulta y queja subjetiva, antecedentes médicos (especialmente vasculares, traumáticos, neurodegenerativos), historia evolutiva del episodio que causó el DCA, lateralidad, nivel educativo y ocupacional premórbido, situación familiar y red de apoyo, medicación actual, consumos, exploración neuropsiquiátrica básica y revisión de pruebas complementarias (TC/RMN, EEG, analíticas).</w:t>
      </w:r>
    </w:p>
    <w:p>
      <w:pPr>
        <w:pStyle w:val="BodyText"/>
      </w:pPr>
      <w:r>
        <w:rPr>
          <w:b/>
          <w:bCs/>
        </w:rPr>
        <w:t xml:space="preserve">Devolución de resultados</w:t>
      </w:r>
      <w:r>
        <w:t xml:space="preserve">: se prioriza un lenguaje comprensible y libre de tecnicismos, se identifican fortalezas conservadas además de déficits, se acompaña al paciente y familia en la elaboración del impacto y se entrega un plan de acción concreto (rehabilitación cognitiva, intervención emocional, recursos sociales).</w:t>
      </w:r>
    </w:p>
    <w:bookmarkEnd w:id="12"/>
    <w:bookmarkStart w:id="13" w:name="protocolo-de-evaluación-neuropsicológica"/>
    <w:p>
      <w:pPr>
        <w:pStyle w:val="Heading2"/>
      </w:pPr>
      <w:r>
        <w:t xml:space="preserve">5. Protocolo de evaluación neuropsicológica</w:t>
      </w:r>
    </w:p>
    <w:p>
      <w:pPr>
        <w:pStyle w:val="FirstParagraph"/>
      </w:pPr>
      <w:r>
        <w:t xml:space="preserve">El protocolo combina pruebas generales (que aportan perfil amplio) con pruebas específicas por dominio. Está diseñado para una duración total de aplicación de 4-5 horas, repartidas en 2-3 sesiones. Cada prueba se justifica por su validez en DCA y por su presencia en la práctica clínica española.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Dominio</w:t>
            </w:r>
          </w:p>
        </w:tc>
        <w:tc>
          <w:tcPr/>
          <w:p>
            <w:pPr>
              <w:pStyle w:val="Compact"/>
            </w:pPr>
            <w:r>
              <w:t xml:space="preserve">Prueba</w:t>
            </w:r>
          </w:p>
        </w:tc>
        <w:tc>
          <w:tcPr/>
          <w:p>
            <w:pPr>
              <w:pStyle w:val="Compact"/>
            </w:pPr>
            <w:r>
              <w:t xml:space="preserve">Justificación</w:t>
            </w:r>
          </w:p>
        </w:tc>
      </w:tr>
      <w:tr>
        <w:tc>
          <w:tcPr/>
          <w:p>
            <w:pPr>
              <w:pStyle w:val="Compact"/>
            </w:pPr>
            <w:r>
              <w:t xml:space="preserve">Cribado / perfil general</w:t>
            </w:r>
          </w:p>
        </w:tc>
        <w:tc>
          <w:tcPr/>
          <w:p>
            <w:pPr>
              <w:pStyle w:val="Compact"/>
            </w:pPr>
            <w:r>
              <w:t xml:space="preserve">MoCA + WAIS-IV (subtests seleccionados)</w:t>
            </w:r>
          </w:p>
        </w:tc>
        <w:tc>
          <w:tcPr/>
          <w:p>
            <w:pPr>
              <w:pStyle w:val="Compact"/>
            </w:pPr>
            <w:r>
              <w:t xml:space="preserve">El MoCA detecta deterioro general en &lt;10 min; WAIS-IV aporta CI y perfil de procesamiento</w:t>
            </w:r>
          </w:p>
        </w:tc>
      </w:tr>
      <w:tr>
        <w:tc>
          <w:tcPr/>
          <w:p>
            <w:pPr>
              <w:pStyle w:val="Compact"/>
            </w:pPr>
            <w:r>
              <w:t xml:space="preserve">Atención y velocidad</w:t>
            </w:r>
          </w:p>
        </w:tc>
        <w:tc>
          <w:tcPr/>
          <w:p>
            <w:pPr>
              <w:pStyle w:val="Compact"/>
            </w:pPr>
            <w:r>
              <w:t xml:space="preserve">TMT A, símbolos-dígitos (WAIS-IV), test de Stroop</w:t>
            </w:r>
          </w:p>
        </w:tc>
        <w:tc>
          <w:tcPr/>
          <w:p>
            <w:pPr>
              <w:pStyle w:val="Compact"/>
            </w:pPr>
            <w:r>
              <w:t xml:space="preserve">Sensibles a enlentecimiento y disfunción frontal-subcortical típica del DCA</w:t>
            </w:r>
          </w:p>
        </w:tc>
      </w:tr>
      <w:tr>
        <w:tc>
          <w:tcPr/>
          <w:p>
            <w:pPr>
              <w:pStyle w:val="Compact"/>
            </w:pPr>
            <w:r>
              <w:t xml:space="preserve">Memoria</w:t>
            </w:r>
          </w:p>
        </w:tc>
        <w:tc>
          <w:tcPr/>
          <w:p>
            <w:pPr>
              <w:pStyle w:val="Compact"/>
            </w:pPr>
            <w:r>
              <w:t xml:space="preserve">TAVEC (memoria verbal), Figura Compleja de Rey (memoria visual)</w:t>
            </w:r>
          </w:p>
        </w:tc>
        <w:tc>
          <w:tcPr/>
          <w:p>
            <w:pPr>
              <w:pStyle w:val="Compact"/>
            </w:pPr>
            <w:r>
              <w:t xml:space="preserve">Permiten disociar codificación, almacenamiento y recuperación</w:t>
            </w:r>
          </w:p>
        </w:tc>
      </w:tr>
      <w:tr>
        <w:tc>
          <w:tcPr/>
          <w:p>
            <w:pPr>
              <w:pStyle w:val="Compact"/>
            </w:pPr>
            <w:r>
              <w:t xml:space="preserve">Funciones ejecutivas</w:t>
            </w:r>
          </w:p>
        </w:tc>
        <w:tc>
          <w:tcPr/>
          <w:p>
            <w:pPr>
              <w:pStyle w:val="Compact"/>
            </w:pPr>
            <w:r>
              <w:t xml:space="preserve">TMT B, FAB, fluidez verbal fonológica y semántica, Torre de Hanoi</w:t>
            </w:r>
          </w:p>
        </w:tc>
        <w:tc>
          <w:tcPr/>
          <w:p>
            <w:pPr>
              <w:pStyle w:val="Compact"/>
            </w:pPr>
            <w:r>
              <w:t xml:space="preserve">Cubren planificación, flexibilidad, inhibición y secuenciación</w:t>
            </w:r>
          </w:p>
        </w:tc>
      </w:tr>
      <w:tr>
        <w:tc>
          <w:tcPr/>
          <w:p>
            <w:pPr>
              <w:pStyle w:val="Compact"/>
            </w:pPr>
            <w:r>
              <w:t xml:space="preserve">Lenguaje</w:t>
            </w:r>
          </w:p>
        </w:tc>
        <w:tc>
          <w:tcPr/>
          <w:p>
            <w:pPr>
              <w:pStyle w:val="Compact"/>
            </w:pPr>
            <w:r>
              <w:t xml:space="preserve">Test de Boston (denominación), Token Test</w:t>
            </w:r>
          </w:p>
        </w:tc>
        <w:tc>
          <w:tcPr/>
          <w:p>
            <w:pPr>
              <w:pStyle w:val="Compact"/>
            </w:pPr>
            <w:r>
              <w:t xml:space="preserve">Estándar en evaluación afasiológica post-ictus</w:t>
            </w:r>
          </w:p>
        </w:tc>
      </w:tr>
      <w:tr>
        <w:tc>
          <w:tcPr/>
          <w:p>
            <w:pPr>
              <w:pStyle w:val="Compact"/>
            </w:pPr>
            <w:r>
              <w:t xml:space="preserve">Gnosias y praxias</w:t>
            </w:r>
          </w:p>
        </w:tc>
        <w:tc>
          <w:tcPr/>
          <w:p>
            <w:pPr>
              <w:pStyle w:val="Compact"/>
            </w:pPr>
            <w:r>
              <w:t xml:space="preserve">Test Barcelona-2 (Peña-Casanova), subtests específicos</w:t>
            </w:r>
          </w:p>
        </w:tc>
        <w:tc>
          <w:tcPr/>
          <w:p>
            <w:pPr>
              <w:pStyle w:val="Compact"/>
            </w:pPr>
            <w:r>
              <w:t xml:space="preserve">Referencia consolidada en España; útil en DCA por la frecuencia de apraxia (Cubelli, 1995)</w:t>
            </w:r>
          </w:p>
        </w:tc>
      </w:tr>
      <w:tr>
        <w:tc>
          <w:tcPr/>
          <w:p>
            <w:pPr>
              <w:pStyle w:val="Compact"/>
            </w:pPr>
            <w:r>
              <w:t xml:space="preserve">Cognición social</w:t>
            </w:r>
          </w:p>
        </w:tc>
        <w:tc>
          <w:tcPr/>
          <w:p>
            <w:pPr>
              <w:pStyle w:val="Compact"/>
            </w:pPr>
            <w:r>
              <w:t xml:space="preserve">Test de las Miradas (Baron-Cohen), Faux Pas</w:t>
            </w:r>
          </w:p>
        </w:tc>
        <w:tc>
          <w:tcPr/>
          <w:p>
            <w:pPr>
              <w:pStyle w:val="Compact"/>
            </w:pPr>
            <w:r>
              <w:t xml:space="preserve">Importantes en DCA frontal y TCE moderado-grave</w:t>
            </w:r>
          </w:p>
        </w:tc>
      </w:tr>
      <w:tr>
        <w:tc>
          <w:tcPr/>
          <w:p>
            <w:pPr>
              <w:pStyle w:val="Compact"/>
            </w:pPr>
            <w:r>
              <w:t xml:space="preserve">Emoción y conducta</w:t>
            </w:r>
          </w:p>
        </w:tc>
        <w:tc>
          <w:tcPr/>
          <w:p>
            <w:pPr>
              <w:pStyle w:val="Compact"/>
            </w:pPr>
            <w:r>
              <w:t xml:space="preserve">BDI-II, STAI, NPI (informador)</w:t>
            </w:r>
          </w:p>
        </w:tc>
        <w:tc>
          <w:tcPr/>
          <w:p>
            <w:pPr>
              <w:pStyle w:val="Compact"/>
            </w:pPr>
            <w:r>
              <w:t xml:space="preserve">Detectan depresión, ansiedad y alteraciones neuropsiquiátricas asociadas</w:t>
            </w:r>
          </w:p>
        </w:tc>
      </w:tr>
      <w:tr>
        <w:tc>
          <w:tcPr/>
          <w:p>
            <w:pPr>
              <w:pStyle w:val="Compact"/>
            </w:pPr>
            <w:r>
              <w:t xml:space="preserve">Funcionalidad y calidad de vida</w:t>
            </w:r>
          </w:p>
        </w:tc>
        <w:tc>
          <w:tcPr/>
          <w:p>
            <w:pPr>
              <w:pStyle w:val="Compact"/>
            </w:pPr>
            <w:r>
              <w:t xml:space="preserve">Escala FIM, WHOQOL-BREF</w:t>
            </w:r>
          </w:p>
        </w:tc>
        <w:tc>
          <w:tcPr/>
          <w:p>
            <w:pPr>
              <w:pStyle w:val="Compact"/>
            </w:pPr>
            <w:r>
              <w:t xml:space="preserve">Vinculan los hallazgos cognitivos con impacto funcional real</w:t>
            </w:r>
          </w:p>
        </w:tc>
      </w:tr>
    </w:tbl>
    <w:p>
      <w:pPr>
        <w:pStyle w:val="BodyText"/>
      </w:pPr>
      <w:r>
        <w:t xml:space="preserve">El protocolo es</w:t>
      </w:r>
      <w:r>
        <w:t xml:space="preserve"> </w:t>
      </w:r>
      <w:r>
        <w:rPr>
          <w:b/>
          <w:bCs/>
        </w:rPr>
        <w:t xml:space="preserve">flexible</w:t>
      </w:r>
      <w:r>
        <w:t xml:space="preserve">: en pacientes con fatigabilidad alta se aplica una versión reducida priorizando MoCA, TMT, TAVEC, BDI-II y NPI; en casos forenses o periciales se amplía con pruebas de validación de síntomas (TOMM).</w:t>
      </w:r>
    </w:p>
    <w:bookmarkEnd w:id="13"/>
    <w:bookmarkStart w:id="14" w:name="Xb3f982d15f7e12be0433c5644c6c8c5d12ce48f"/>
    <w:p>
      <w:pPr>
        <w:pStyle w:val="Heading2"/>
      </w:pPr>
      <w:r>
        <w:t xml:space="preserve">6. Recursos e infraestructura — Presupuesto inicial</w:t>
      </w:r>
    </w:p>
    <w:p>
      <w:pPr>
        <w:pStyle w:val="FirstParagraph"/>
      </w:pPr>
      <w:r>
        <w:t xml:space="preserve">NeuroAdulto requiere un local de ~80 m² con sala de espera, recepción, dos consultas de evaluación insonorizadas, despacho de coordinación y archivo seguro. Inversión y costes operativos del año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Línea</w:t>
            </w:r>
          </w:p>
        </w:tc>
        <w:tc>
          <w:tcPr/>
          <w:p>
            <w:pPr>
              <w:pStyle w:val="Compact"/>
            </w:pPr>
            <w:r>
              <w:t xml:space="preserve">Concepto</w:t>
            </w:r>
          </w:p>
        </w:tc>
        <w:tc>
          <w:tcPr/>
          <w:p>
            <w:pPr>
              <w:pStyle w:val="Compact"/>
            </w:pPr>
            <w:r>
              <w:t xml:space="preserve">Importe (€)</w:t>
            </w:r>
          </w:p>
        </w:tc>
      </w:tr>
      <w:tr>
        <w:tc>
          <w:tcPr/>
          <w:p>
            <w:pPr>
              <w:pStyle w:val="Compact"/>
            </w:pPr>
            <w:r>
              <w:t xml:space="preserve">Infraestructura</w:t>
            </w:r>
          </w:p>
        </w:tc>
        <w:tc>
          <w:tcPr/>
          <w:p>
            <w:pPr>
              <w:pStyle w:val="Compact"/>
            </w:pPr>
            <w:r>
              <w:t xml:space="preserve">Acondicionamiento local + mobiliario</w:t>
            </w:r>
          </w:p>
        </w:tc>
        <w:tc>
          <w:tcPr/>
          <w:p>
            <w:pPr>
              <w:pStyle w:val="Compact"/>
            </w:pPr>
            <w:r>
              <w:t xml:space="preserve">8.000</w:t>
            </w:r>
          </w:p>
        </w:tc>
      </w:tr>
      <w:tr>
        <w:tc>
          <w:tcPr/>
          <w:p>
            <w:pPr>
              <w:pStyle w:val="Compact"/>
            </w:pPr>
            <w:r>
              <w:t xml:space="preserve">Material psicométrico</w:t>
            </w:r>
          </w:p>
        </w:tc>
        <w:tc>
          <w:tcPr/>
          <w:p>
            <w:pPr>
              <w:pStyle w:val="Compact"/>
            </w:pPr>
            <w:r>
              <w:t xml:space="preserve">WAIS-IV, TAVEC, Test Barcelona-2, Boston, Rey, FAB, BDI-II, STAI, NPI, MoCA, TOMM, Stroop, Token, FIM</w:t>
            </w:r>
          </w:p>
        </w:tc>
        <w:tc>
          <w:tcPr/>
          <w:p>
            <w:pPr>
              <w:pStyle w:val="Compact"/>
            </w:pPr>
            <w:r>
              <w:t xml:space="preserve">12.000</w:t>
            </w:r>
          </w:p>
        </w:tc>
      </w:tr>
      <w:tr>
        <w:tc>
          <w:tcPr/>
          <w:p>
            <w:pPr>
              <w:pStyle w:val="Compact"/>
            </w:pPr>
            <w:r>
              <w:t xml:space="preserve">Software</w:t>
            </w:r>
          </w:p>
        </w:tc>
        <w:tc>
          <w:tcPr/>
          <w:p>
            <w:pPr>
              <w:pStyle w:val="Compact"/>
            </w:pPr>
            <w:r>
              <w:t xml:space="preserve">NeuronUp o Guttmann NPT (licencia), software de informes, antivirus, gestor de historia clínica</w:t>
            </w:r>
          </w:p>
        </w:tc>
        <w:tc>
          <w:tcPr/>
          <w:p>
            <w:pPr>
              <w:pStyle w:val="Compact"/>
            </w:pPr>
            <w:r>
              <w:t xml:space="preserve">4.500</w:t>
            </w:r>
          </w:p>
        </w:tc>
      </w:tr>
      <w:tr>
        <w:tc>
          <w:tcPr/>
          <w:p>
            <w:pPr>
              <w:pStyle w:val="Compact"/>
            </w:pPr>
            <w:r>
              <w:t xml:space="preserve">Hardware</w:t>
            </w:r>
          </w:p>
        </w:tc>
        <w:tc>
          <w:tcPr/>
          <w:p>
            <w:pPr>
              <w:pStyle w:val="Compact"/>
            </w:pPr>
            <w:r>
              <w:t xml:space="preserve">3 ordenadores, 1 servidor NAS cifrado, impresora</w:t>
            </w:r>
          </w:p>
        </w:tc>
        <w:tc>
          <w:tcPr/>
          <w:p>
            <w:pPr>
              <w:pStyle w:val="Compact"/>
            </w:pPr>
            <w:r>
              <w:t xml:space="preserve">4.000</w:t>
            </w:r>
          </w:p>
        </w:tc>
      </w:tr>
      <w:tr>
        <w:tc>
          <w:tcPr/>
          <w:p>
            <w:pPr>
              <w:pStyle w:val="Compact"/>
            </w:pPr>
            <w:r>
              <w:t xml:space="preserve">RRHH año 1</w:t>
            </w:r>
          </w:p>
        </w:tc>
        <w:tc>
          <w:tcPr/>
          <w:p>
            <w:pPr>
              <w:pStyle w:val="Compact"/>
            </w:pPr>
            <w:r>
              <w:t xml:space="preserve">1 neuropsicólogo coordinador (35.000 € bruto), 1 neuropsicólogo evaluador (28.000 €), 1 administrativo (18.000 €), Seguridad Social patronal (~30 %)</w:t>
            </w:r>
          </w:p>
        </w:tc>
        <w:tc>
          <w:tcPr/>
          <w:p>
            <w:pPr>
              <w:pStyle w:val="Compact"/>
            </w:pPr>
            <w:r>
              <w:t xml:space="preserve">105.300</w:t>
            </w:r>
          </w:p>
        </w:tc>
      </w:tr>
      <w:tr>
        <w:tc>
          <w:tcPr/>
          <w:p>
            <w:pPr>
              <w:pStyle w:val="Compact"/>
            </w:pPr>
            <w:r>
              <w:t xml:space="preserve">Alquiler y suministros</w:t>
            </w:r>
          </w:p>
        </w:tc>
        <w:tc>
          <w:tcPr/>
          <w:p>
            <w:pPr>
              <w:pStyle w:val="Compact"/>
            </w:pPr>
            <w:r>
              <w:t xml:space="preserve">Local + agua, luz, internet, limpieza</w:t>
            </w:r>
          </w:p>
        </w:tc>
        <w:tc>
          <w:tcPr/>
          <w:p>
            <w:pPr>
              <w:pStyle w:val="Compact"/>
            </w:pPr>
            <w:r>
              <w:t xml:space="preserve">14.400</w:t>
            </w:r>
          </w:p>
        </w:tc>
      </w:tr>
      <w:tr>
        <w:tc>
          <w:tcPr/>
          <w:p>
            <w:pPr>
              <w:pStyle w:val="Compact"/>
            </w:pPr>
            <w:r>
              <w:t xml:space="preserve">Seguros y licencias</w:t>
            </w:r>
          </w:p>
        </w:tc>
        <w:tc>
          <w:tcPr/>
          <w:p>
            <w:pPr>
              <w:pStyle w:val="Compact"/>
            </w:pPr>
            <w:r>
              <w:t xml:space="preserve">Seguro responsabilidad civil, licencia sanitaria autonómica, cuotas colegiales</w:t>
            </w:r>
          </w:p>
        </w:tc>
        <w:tc>
          <w:tcPr/>
          <w:p>
            <w:pPr>
              <w:pStyle w:val="Compact"/>
            </w:pPr>
            <w:r>
              <w:t xml:space="preserve">2.500</w:t>
            </w:r>
          </w:p>
        </w:tc>
      </w:tr>
      <w:tr>
        <w:tc>
          <w:tcPr/>
          <w:p>
            <w:pPr>
              <w:pStyle w:val="Compact"/>
            </w:pPr>
            <w:r>
              <w:t xml:space="preserve">Marketing año 1</w:t>
            </w:r>
          </w:p>
        </w:tc>
        <w:tc>
          <w:tcPr/>
          <w:p>
            <w:pPr>
              <w:pStyle w:val="Compact"/>
            </w:pPr>
            <w:r>
              <w:t xml:space="preserve">Web, SEO, materiales y jornadas</w:t>
            </w:r>
          </w:p>
        </w:tc>
        <w:tc>
          <w:tcPr/>
          <w:p>
            <w:pPr>
              <w:pStyle w:val="Compact"/>
            </w:pPr>
            <w:r>
              <w:t xml:space="preserve">5.000</w:t>
            </w:r>
          </w:p>
        </w:tc>
      </w:tr>
      <w:tr>
        <w:tc>
          <w:tcPr/>
          <w:p>
            <w:pPr>
              <w:pStyle w:val="Compact"/>
            </w:pPr>
            <w:r>
              <w:t xml:space="preserve">Contingencias</w:t>
            </w:r>
          </w:p>
        </w:tc>
        <w:tc>
          <w:tcPr/>
          <w:p>
            <w:pPr>
              <w:pStyle w:val="Compact"/>
            </w:pPr>
            <w:r>
              <w:t xml:space="preserve">5 %</w:t>
            </w:r>
          </w:p>
        </w:tc>
        <w:tc>
          <w:tcPr/>
          <w:p>
            <w:pPr>
              <w:pStyle w:val="Compact"/>
            </w:pPr>
            <w:r>
              <w:t xml:space="preserve">7.785</w:t>
            </w:r>
          </w:p>
        </w:tc>
      </w:tr>
      <w:tr>
        <w:tc>
          <w:tcPr/>
          <w:p>
            <w:pPr>
              <w:pStyle w:val="Compact"/>
            </w:pPr>
            <w:r>
              <w:rPr>
                <w:b/>
                <w:bCs/>
              </w:rPr>
              <w:t xml:space="preserve">Total inversión + operativa año 1</w:t>
            </w:r>
          </w:p>
        </w:tc>
        <w:tc>
          <w:tcPr/>
          <w:p>
            <w:pPr>
              <w:pStyle w:val="Compact"/>
            </w:pPr>
          </w:p>
        </w:tc>
        <w:tc>
          <w:tcPr/>
          <w:p>
            <w:pPr>
              <w:pStyle w:val="Compact"/>
            </w:pPr>
            <w:r>
              <w:rPr>
                <w:b/>
                <w:bCs/>
              </w:rPr>
              <w:t xml:space="preserve">163.485</w:t>
            </w:r>
          </w:p>
        </w:tc>
      </w:tr>
    </w:tbl>
    <w:p>
      <w:pPr>
        <w:pStyle w:val="BodyText"/>
      </w:pPr>
      <w:r>
        <w:t xml:space="preserve">La inversión inicial (no recurrente) asciende a aproximadamente</w:t>
      </w:r>
      <w:r>
        <w:t xml:space="preserve"> </w:t>
      </w:r>
      <w:r>
        <w:rPr>
          <w:b/>
          <w:bCs/>
        </w:rPr>
        <w:t xml:space="preserve">28.500 €</w:t>
      </w:r>
      <w:r>
        <w:t xml:space="preserve"> </w:t>
      </w:r>
      <w:r>
        <w:t xml:space="preserve">(infraestructura, material, software, hardware, marketing inicial, seguros y licencias). El resto se cubre con ingresos operativos a partir del cuarto mes.</w:t>
      </w:r>
    </w:p>
    <w:bookmarkEnd w:id="14"/>
    <w:bookmarkStart w:id="17" w:name="análisis-dafo-y-carácter-diferenciador"/>
    <w:p>
      <w:pPr>
        <w:pStyle w:val="Heading2"/>
      </w:pPr>
      <w:r>
        <w:t xml:space="preserve">7. Análisis DAFO y carácter diferenciador</w:t>
      </w:r>
    </w:p>
    <w:bookmarkStart w:id="15" w:name="matriz-dafo"/>
    <w:p>
      <w:pPr>
        <w:pStyle w:val="Heading3"/>
      </w:pPr>
      <w:r>
        <w:t xml:space="preserve">Matriz DAFO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Fortalezas</w:t>
            </w:r>
          </w:p>
        </w:tc>
        <w:tc>
          <w:tcPr/>
          <w:p>
            <w:pPr>
              <w:pStyle w:val="Compact"/>
            </w:pPr>
            <w:r>
              <w:rPr>
                <w:b/>
                <w:bCs/>
              </w:rPr>
              <w:t xml:space="preserve">Debilidades</w:t>
            </w:r>
          </w:p>
        </w:tc>
      </w:tr>
      <w:tr>
        <w:tc>
          <w:tcPr/>
          <w:p>
            <w:pPr>
              <w:pStyle w:val="Compact"/>
            </w:pPr>
            <w:r>
              <w:t xml:space="preserve">Especialización clara en DCA, no generalismo difuso</w:t>
            </w:r>
          </w:p>
        </w:tc>
        <w:tc>
          <w:tcPr/>
          <w:p>
            <w:pPr>
              <w:pStyle w:val="Compact"/>
            </w:pPr>
            <w:r>
              <w:t xml:space="preserve">Inversión inicial alta y dependencia de derivaciones</w:t>
            </w:r>
          </w:p>
        </w:tc>
      </w:tr>
      <w:tr>
        <w:tc>
          <w:tcPr/>
          <w:p>
            <w:pPr>
              <w:pStyle w:val="Compact"/>
            </w:pPr>
            <w:r>
              <w:t xml:space="preserve">Equipo con formación específica UNIR + supervisión interdisciplinar</w:t>
            </w:r>
          </w:p>
        </w:tc>
        <w:tc>
          <w:tcPr/>
          <w:p>
            <w:pPr>
              <w:pStyle w:val="Compact"/>
            </w:pPr>
            <w:r>
              <w:t xml:space="preserve">Dos neuropsicólogos: limita capacidad y vacaciones</w:t>
            </w:r>
          </w:p>
        </w:tc>
      </w:tr>
      <w:tr>
        <w:tc>
          <w:tcPr/>
          <w:p>
            <w:pPr>
              <w:pStyle w:val="Compact"/>
            </w:pPr>
            <w:r>
              <w:t xml:space="preserve">Protocolo de evaluación normalizado y publicable en web</w:t>
            </w:r>
          </w:p>
        </w:tc>
        <w:tc>
          <w:tcPr/>
          <w:p>
            <w:pPr>
              <w:pStyle w:val="Compact"/>
            </w:pPr>
            <w:r>
              <w:t xml:space="preserve">Visibilidad inicial baja frente a competencia consolidada</w:t>
            </w:r>
          </w:p>
        </w:tc>
      </w:tr>
      <w:tr>
        <w:tc>
          <w:tcPr/>
          <w:p>
            <w:pPr>
              <w:pStyle w:val="Compact"/>
            </w:pPr>
            <w:r>
              <w:t xml:space="preserve">Tiempo de informe corto (≤15 días) frente a hospital público</w:t>
            </w:r>
          </w:p>
        </w:tc>
        <w:tc>
          <w:tcPr/>
          <w:p>
            <w:pPr>
              <w:pStyle w:val="Compact"/>
            </w:pPr>
            <w:r>
              <w:t xml:space="preserve">Sin convenios firmes en el año 1</w:t>
            </w:r>
          </w:p>
        </w:tc>
      </w:tr>
      <w:tr>
        <w:tc>
          <w:tcPr/>
          <w:p>
            <w:pPr>
              <w:pStyle w:val="Compact"/>
            </w:pPr>
            <w:r>
              <w:rPr>
                <w:b/>
                <w:bCs/>
              </w:rPr>
              <w:t xml:space="preserve">Oportunidades</w:t>
            </w:r>
          </w:p>
        </w:tc>
        <w:tc>
          <w:tcPr/>
          <w:p>
            <w:pPr>
              <w:pStyle w:val="Compact"/>
            </w:pPr>
            <w:r>
              <w:rPr>
                <w:b/>
                <w:bCs/>
              </w:rPr>
              <w:t xml:space="preserve">Amenazas</w:t>
            </w:r>
          </w:p>
        </w:tc>
      </w:tr>
      <w:tr>
        <w:tc>
          <w:tcPr/>
          <w:p>
            <w:pPr>
              <w:pStyle w:val="Compact"/>
            </w:pPr>
            <w:r>
              <w:t xml:space="preserve">Saturación de neuropsicología hospitalaria pública</w:t>
            </w:r>
          </w:p>
        </w:tc>
        <w:tc>
          <w:tcPr/>
          <w:p>
            <w:pPr>
              <w:pStyle w:val="Compact"/>
            </w:pPr>
            <w:r>
              <w:t xml:space="preserve">Nuevos competidores con grandes cadenas de salud</w:t>
            </w:r>
          </w:p>
        </w:tc>
      </w:tr>
      <w:tr>
        <w:tc>
          <w:tcPr/>
          <w:p>
            <w:pPr>
              <w:pStyle w:val="Compact"/>
            </w:pPr>
            <w:r>
              <w:t xml:space="preserve">Aumento de incidencia de ictus por envejecimiento poblacional</w:t>
            </w:r>
          </w:p>
        </w:tc>
        <w:tc>
          <w:tcPr/>
          <w:p>
            <w:pPr>
              <w:pStyle w:val="Compact"/>
            </w:pPr>
            <w:r>
              <w:t xml:space="preserve">Cambios regulatorios autonómicos en centros sanitarios</w:t>
            </w:r>
          </w:p>
        </w:tc>
      </w:tr>
      <w:tr>
        <w:tc>
          <w:tcPr/>
          <w:p>
            <w:pPr>
              <w:pStyle w:val="Compact"/>
            </w:pPr>
            <w:r>
              <w:t xml:space="preserve">Mutuas y aseguradoras buscando proveedores especializados</w:t>
            </w:r>
          </w:p>
        </w:tc>
        <w:tc>
          <w:tcPr/>
          <w:p>
            <w:pPr>
              <w:pStyle w:val="Compact"/>
            </w:pPr>
            <w:r>
              <w:t xml:space="preserve">Variabilidad de tarifas y baja cobertura privada del DCA</w:t>
            </w:r>
          </w:p>
        </w:tc>
      </w:tr>
      <w:tr>
        <w:tc>
          <w:tcPr/>
          <w:p>
            <w:pPr>
              <w:pStyle w:val="Compact"/>
            </w:pPr>
            <w:r>
              <w:t xml:space="preserve">Tendencia a la teleneuropsicología (cribado y devolución)</w:t>
            </w:r>
          </w:p>
        </w:tc>
        <w:tc>
          <w:tcPr/>
          <w:p>
            <w:pPr>
              <w:pStyle w:val="Compact"/>
            </w:pPr>
            <w:r>
              <w:t xml:space="preserve">Riesgo de fuga de talento clínico</w:t>
            </w:r>
          </w:p>
        </w:tc>
      </w:tr>
    </w:tbl>
    <w:bookmarkEnd w:id="15"/>
    <w:bookmarkStart w:id="16" w:name="carácter-diferenciador"/>
    <w:p>
      <w:pPr>
        <w:pStyle w:val="Heading3"/>
      </w:pPr>
      <w:r>
        <w:t xml:space="preserve">Carácter diferenciador</w:t>
      </w:r>
    </w:p>
    <w:p>
      <w:pPr>
        <w:pStyle w:val="FirstParagraph"/>
      </w:pPr>
      <w:r>
        <w:t xml:space="preserve">A diferencia de los gabinetes generalistas y de la consulta hospitalaria saturada,</w:t>
      </w:r>
      <w:r>
        <w:t xml:space="preserve"> </w:t>
      </w:r>
      <w:r>
        <w:rPr>
          <w:b/>
          <w:bCs/>
        </w:rPr>
        <w:t xml:space="preserve">NeuroAdulto se posiciona como una unidad monográfica de DCA</w:t>
      </w:r>
      <w:r>
        <w:t xml:space="preserve">, con tres rasgos diferenciales: (1) protocolo de evaluación estandarizado y transparente, publicado en la web; (2)</w:t>
      </w:r>
      <w:r>
        <w:t xml:space="preserve"> </w:t>
      </w:r>
      <w:r>
        <w:rPr>
          <w:b/>
          <w:bCs/>
        </w:rPr>
        <w:t xml:space="preserve">devolución de resultados como acto clínico formal</w:t>
      </w:r>
      <w:r>
        <w:t xml:space="preserve">, con sesión presencial y plan de derivaciones, no como simple entrega de informe; y (3) red interdisciplinar activa con neurología, fisioterapia y logopedia que reduce la fragmentación del proceso asistencial.</w:t>
      </w:r>
    </w:p>
    <w:bookmarkEnd w:id="16"/>
    <w:bookmarkEnd w:id="17"/>
    <w:bookmarkStart w:id="23" w:name="planes-de-acción"/>
    <w:p>
      <w:pPr>
        <w:pStyle w:val="Heading2"/>
      </w:pPr>
      <w:r>
        <w:t xml:space="preserve">8. Planes de acción</w:t>
      </w:r>
    </w:p>
    <w:bookmarkStart w:id="18" w:name="plan-legal"/>
    <w:p>
      <w:pPr>
        <w:pStyle w:val="Heading3"/>
      </w:pPr>
      <w:r>
        <w:t xml:space="preserve">8.1 Plan legal</w:t>
      </w:r>
    </w:p>
    <w:p>
      <w:pPr>
        <w:pStyle w:val="FirstParagraph"/>
      </w:pPr>
      <w:r>
        <w:t xml:space="preserve">Se constituye como sociedad limitada profesional (S.L.P.). Documentación: licencia sanitaria autonómica de centro de Categoría II.7 (consultas de psicología clínica), inscripción en el Registro General de Centros Sanitarios, alta de los profesionales en el Colegio Oficial de Psicología correspondiente con habilitación sanitaria. Cumplimiento riguroso del</w:t>
      </w:r>
      <w:r>
        <w:t xml:space="preserve"> </w:t>
      </w:r>
      <w:r>
        <w:rPr>
          <w:b/>
          <w:bCs/>
        </w:rPr>
        <w:t xml:space="preserve">RGPD y LOPDGDD</w:t>
      </w:r>
      <w:r>
        <w:t xml:space="preserve"> </w:t>
      </w:r>
      <w:r>
        <w:t xml:space="preserve">(consentimiento informado, registro de actividades de tratamiento, encargado de protección de datos externo, archivo de historias clínicas cifrado), Ley de Autonomía del Paciente (Ley 41/2002) y código deontológico del Consejo General de la Psicología de España.</w:t>
      </w:r>
    </w:p>
    <w:bookmarkEnd w:id="18"/>
    <w:bookmarkStart w:id="19" w:name="plan-de-marketing"/>
    <w:p>
      <w:pPr>
        <w:pStyle w:val="Heading3"/>
      </w:pPr>
      <w:r>
        <w:t xml:space="preserve">8.2 Plan de marketing</w:t>
      </w:r>
    </w:p>
    <w:p>
      <w:pPr>
        <w:pStyle w:val="FirstParagraph"/>
      </w:pPr>
      <w:r>
        <w:t xml:space="preserve">Objetivo año 1: alcanzar 35 evaluaciones/mes. Acciones:</w:t>
      </w:r>
    </w:p>
    <w:p>
      <w:pPr>
        <w:pStyle w:val="Compact"/>
        <w:numPr>
          <w:ilvl w:val="0"/>
          <w:numId w:val="1003"/>
        </w:numPr>
      </w:pPr>
      <w:r>
        <w:rPr>
          <w:b/>
          <w:bCs/>
        </w:rPr>
        <w:t xml:space="preserve">Convenios</w:t>
      </w:r>
      <w:r>
        <w:t xml:space="preserve"> </w:t>
      </w:r>
      <w:r>
        <w:t xml:space="preserve">con dos hospitales privados (Servicios de Neurología/Unidad de Ictus) y dos mutuas laborales como derivadores prioritarios.</w:t>
      </w:r>
    </w:p>
    <w:p>
      <w:pPr>
        <w:pStyle w:val="Compact"/>
        <w:numPr>
          <w:ilvl w:val="0"/>
          <w:numId w:val="1003"/>
        </w:numPr>
      </w:pPr>
      <w:r>
        <w:rPr>
          <w:b/>
          <w:bCs/>
        </w:rPr>
        <w:t xml:space="preserve">Web profesional</w:t>
      </w:r>
      <w:r>
        <w:t xml:space="preserve"> </w:t>
      </w:r>
      <w:r>
        <w:t xml:space="preserve">con SEO local (</w:t>
      </w:r>
      <w:r>
        <w:t xml:space="preserve">“evaluación neuropsicológica adultos + ciudad”</w:t>
      </w:r>
      <w:r>
        <w:t xml:space="preserve">) y publicación abierta del protocolo y tiempos de respuesta.</w:t>
      </w:r>
    </w:p>
    <w:p>
      <w:pPr>
        <w:pStyle w:val="Compact"/>
        <w:numPr>
          <w:ilvl w:val="0"/>
          <w:numId w:val="1003"/>
        </w:numPr>
      </w:pPr>
      <w:r>
        <w:rPr>
          <w:b/>
          <w:bCs/>
        </w:rPr>
        <w:t xml:space="preserve">Comunicación dirigida a profesionales</w:t>
      </w:r>
      <w:r>
        <w:t xml:space="preserve">: jornada inaugural sobre evaluación neuropsicológica en DCA con neurología/rehabilitación; envío trimestral de boletín clínico.</w:t>
      </w:r>
    </w:p>
    <w:p>
      <w:pPr>
        <w:pStyle w:val="Compact"/>
        <w:numPr>
          <w:ilvl w:val="0"/>
          <w:numId w:val="1003"/>
        </w:numPr>
      </w:pPr>
      <w:r>
        <w:rPr>
          <w:b/>
          <w:bCs/>
        </w:rPr>
        <w:t xml:space="preserve">Presencia institucional</w:t>
      </w:r>
      <w:r>
        <w:t xml:space="preserve">: alta en directorios de FEDACE y de las asociaciones autonómicas de daño cerebral.</w:t>
      </w:r>
    </w:p>
    <w:p>
      <w:pPr>
        <w:pStyle w:val="Compact"/>
        <w:numPr>
          <w:ilvl w:val="0"/>
          <w:numId w:val="1003"/>
        </w:numPr>
      </w:pPr>
      <w:r>
        <w:rPr>
          <w:b/>
          <w:bCs/>
        </w:rPr>
        <w:t xml:space="preserve">Pacientes y familias</w:t>
      </w:r>
      <w:r>
        <w:t xml:space="preserve">: folletos en consultas de neurología, charlas en asociaciones, contenido educativo en redes profesionales (LinkedIn, X).</w:t>
      </w:r>
    </w:p>
    <w:bookmarkEnd w:id="19"/>
    <w:bookmarkStart w:id="20" w:name="plan-de-rrhh"/>
    <w:p>
      <w:pPr>
        <w:pStyle w:val="Heading3"/>
      </w:pPr>
      <w:r>
        <w:t xml:space="preserve">8.3 Plan de RRHH</w:t>
      </w:r>
    </w:p>
    <w:p>
      <w:pPr>
        <w:pStyle w:val="FirstParagraph"/>
      </w:pPr>
      <w:r>
        <w:t xml:space="preserve">Equipo inicial: 1 coordinador clínico (neuropsicólogo, contrato indefinido, doctorado o máster), 1 neuropsicólogo evaluador (indefinido, máster con prácticas clínicas), 1 administrativo (jornada completa). Externalización: contable, técnico informático y abogado/DPD bajo demanda. Plan de formación continua (≥40 h/año por profesional), supervisión clínica mensual, revisión anual de protocolo. A partir del año 2 se incorpora un segundo evaluador y, en función del volumen, un neuropsicólogo júnior en formación.</w:t>
      </w:r>
    </w:p>
    <w:bookmarkEnd w:id="20"/>
    <w:bookmarkStart w:id="21" w:name="plan-económico-financiero"/>
    <w:p>
      <w:pPr>
        <w:pStyle w:val="Heading3"/>
      </w:pPr>
      <w:r>
        <w:t xml:space="preserve">8.4 Plan económico-financiero</w:t>
      </w:r>
    </w:p>
    <w:p>
      <w:pPr>
        <w:pStyle w:val="FirstParagraph"/>
      </w:pPr>
      <w:r>
        <w:rPr>
          <w:b/>
          <w:bCs/>
        </w:rPr>
        <w:t xml:space="preserve">Inversión inicial:</w:t>
      </w:r>
      <w:r>
        <w:t xml:space="preserve"> </w:t>
      </w:r>
      <w:r>
        <w:t xml:space="preserve">~28.500 €, cubierta con aportación de socios (60 %) y línea de crédito ICO o equivalente (40 %).</w:t>
      </w:r>
    </w:p>
    <w:p>
      <w:pPr>
        <w:pStyle w:val="BodyText"/>
      </w:pPr>
      <w:r>
        <w:rPr>
          <w:b/>
          <w:bCs/>
        </w:rPr>
        <w:t xml:space="preserve">Ingresos previstos año 1:</w:t>
      </w:r>
      <w:r>
        <w:t xml:space="preserve"> </w:t>
      </w:r>
      <w:r>
        <w:t xml:space="preserve">precio medio de evaluación neuropsicológica completa = 650 € (rango España 500-800 €). Con 35 evaluaciones/mes alcanzadas en el mes 7 y media anual de 22 evaluaciones/mes: 22 × 650 € × 12 =</w:t>
      </w:r>
      <w:r>
        <w:t xml:space="preserve"> </w:t>
      </w:r>
      <w:r>
        <w:rPr>
          <w:b/>
          <w:bCs/>
        </w:rPr>
        <w:t xml:space="preserve">171.600 €</w:t>
      </w:r>
      <w:r>
        <w:t xml:space="preserve">. Servicios complementarios (segundas opiniones, periciales, talleres familiares):</w:t>
      </w:r>
      <w:r>
        <w:t xml:space="preserve"> </w:t>
      </w:r>
      <w:r>
        <w:rPr>
          <w:b/>
          <w:bCs/>
        </w:rPr>
        <w:t xml:space="preserve">+15.000 €</w:t>
      </w:r>
      <w:r>
        <w:t xml:space="preserve">.</w:t>
      </w:r>
    </w:p>
    <w:p>
      <w:pPr>
        <w:pStyle w:val="BodyText"/>
      </w:pPr>
      <w:r>
        <w:rPr>
          <w:b/>
          <w:bCs/>
        </w:rPr>
        <w:t xml:space="preserve">Resumen financiero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Concepto</w:t>
            </w:r>
          </w:p>
        </w:tc>
        <w:tc>
          <w:tcPr/>
          <w:p>
            <w:pPr>
              <w:pStyle w:val="Compact"/>
            </w:pPr>
            <w:r>
              <w:t xml:space="preserve">Año 1</w:t>
            </w:r>
          </w:p>
        </w:tc>
        <w:tc>
          <w:tcPr/>
          <w:p>
            <w:pPr>
              <w:pStyle w:val="Compact"/>
            </w:pPr>
            <w:r>
              <w:t xml:space="preserve">Año 2</w:t>
            </w:r>
          </w:p>
        </w:tc>
        <w:tc>
          <w:tcPr/>
          <w:p>
            <w:pPr>
              <w:pStyle w:val="Compact"/>
            </w:pPr>
            <w:r>
              <w:t xml:space="preserve">Año 3</w:t>
            </w:r>
          </w:p>
        </w:tc>
      </w:tr>
      <w:tr>
        <w:tc>
          <w:tcPr/>
          <w:p>
            <w:pPr>
              <w:pStyle w:val="Compact"/>
            </w:pPr>
            <w:r>
              <w:t xml:space="preserve">Ingresos</w:t>
            </w:r>
          </w:p>
        </w:tc>
        <w:tc>
          <w:tcPr/>
          <w:p>
            <w:pPr>
              <w:pStyle w:val="Compact"/>
            </w:pPr>
            <w:r>
              <w:t xml:space="preserve">186.600</w:t>
            </w:r>
          </w:p>
        </w:tc>
        <w:tc>
          <w:tcPr/>
          <w:p>
            <w:pPr>
              <w:pStyle w:val="Compact"/>
            </w:pPr>
            <w:r>
              <w:t xml:space="preserve">245.000</w:t>
            </w:r>
          </w:p>
        </w:tc>
        <w:tc>
          <w:tcPr/>
          <w:p>
            <w:pPr>
              <w:pStyle w:val="Compact"/>
            </w:pPr>
            <w:r>
              <w:t xml:space="preserve">285.000</w:t>
            </w:r>
          </w:p>
        </w:tc>
      </w:tr>
      <w:tr>
        <w:tc>
          <w:tcPr/>
          <w:p>
            <w:pPr>
              <w:pStyle w:val="Compact"/>
            </w:pPr>
            <w:r>
              <w:t xml:space="preserve">Costes operativos</w:t>
            </w:r>
          </w:p>
        </w:tc>
        <w:tc>
          <w:tcPr/>
          <w:p>
            <w:pPr>
              <w:pStyle w:val="Compact"/>
            </w:pPr>
            <w:r>
              <w:t xml:space="preserve">163.485</w:t>
            </w:r>
          </w:p>
        </w:tc>
        <w:tc>
          <w:tcPr/>
          <w:p>
            <w:pPr>
              <w:pStyle w:val="Compact"/>
            </w:pPr>
            <w:r>
              <w:t xml:space="preserve">195.000</w:t>
            </w:r>
          </w:p>
        </w:tc>
        <w:tc>
          <w:tcPr/>
          <w:p>
            <w:pPr>
              <w:pStyle w:val="Compact"/>
            </w:pPr>
            <w:r>
              <w:t xml:space="preserve">215.000</w:t>
            </w:r>
          </w:p>
        </w:tc>
      </w:tr>
      <w:tr>
        <w:tc>
          <w:tcPr/>
          <w:p>
            <w:pPr>
              <w:pStyle w:val="Compact"/>
            </w:pPr>
            <w:r>
              <w:t xml:space="preserve">Resultado</w:t>
            </w:r>
          </w:p>
        </w:tc>
        <w:tc>
          <w:tcPr/>
          <w:p>
            <w:pPr>
              <w:pStyle w:val="Compact"/>
            </w:pPr>
            <w:r>
              <w:t xml:space="preserve">+23.115</w:t>
            </w:r>
          </w:p>
        </w:tc>
        <w:tc>
          <w:tcPr/>
          <w:p>
            <w:pPr>
              <w:pStyle w:val="Compact"/>
            </w:pPr>
            <w:r>
              <w:t xml:space="preserve">+50.000</w:t>
            </w:r>
          </w:p>
        </w:tc>
        <w:tc>
          <w:tcPr/>
          <w:p>
            <w:pPr>
              <w:pStyle w:val="Compact"/>
            </w:pPr>
            <w:r>
              <w:t xml:space="preserve">+70.000</w:t>
            </w:r>
          </w:p>
        </w:tc>
      </w:tr>
    </w:tbl>
    <w:p>
      <w:pPr>
        <w:pStyle w:val="BodyText"/>
      </w:pPr>
      <w:r>
        <w:rPr>
          <w:b/>
          <w:bCs/>
        </w:rPr>
        <w:t xml:space="preserve">Punto de equilibrio</w:t>
      </w:r>
      <w:r>
        <w:t xml:space="preserve">: mes 11 del año 1. Indicadores de seguimiento (KPI): número de evaluaciones/mes, tiempo medio anamnesis→informe, satisfacción paciente/familia (cuestionario de 5 ítems), tasa de reevaluación a 6 meses, número de derivaciones recibidas por convenio.</w:t>
      </w:r>
    </w:p>
    <w:p>
      <w:r>
        <w:pict>
          <v:rect style="width:0;height:1.5pt" o:hralign="center" o:hrstd="t" o:hr="t"/>
        </w:pict>
      </w:r>
    </w:p>
    <w:bookmarkEnd w:id="21"/>
    <w:bookmarkStart w:id="22" w:name="Xe22076a419fbf8aadb876219239aa73b6f73637"/>
    <w:p>
      <w:pPr>
        <w:pStyle w:val="Heading3"/>
      </w:pPr>
      <w:r>
        <w:t xml:space="preserve">Supuestos asumidos durante la redacción autónoma</w:t>
      </w:r>
    </w:p>
    <w:p>
      <w:pPr>
        <w:pStyle w:val="BlockText"/>
      </w:pPr>
      <w:r>
        <w:t xml:space="preserve">Estos puntos se han asumido por defecto al no constar en el enunciado. Pueden modificarse antes de la entrega.</w:t>
      </w:r>
    </w:p>
    <w:p>
      <w:pPr>
        <w:pStyle w:val="Compact"/>
        <w:numPr>
          <w:ilvl w:val="0"/>
          <w:numId w:val="1004"/>
        </w:numPr>
      </w:pPr>
      <w:r>
        <w:rPr>
          <w:b/>
          <w:bCs/>
        </w:rPr>
        <w:t xml:space="preserve">Patología foco</w:t>
      </w:r>
      <w:r>
        <w:t xml:space="preserve">: Daño Cerebral Adquirido (sugerido por el enunciado). Si el grupo eligió otra patología (demencias, psicogeriatría, TDAH adulto), procede ajustar las secciones 2 y 5.</w:t>
      </w:r>
    </w:p>
    <w:p>
      <w:pPr>
        <w:pStyle w:val="Compact"/>
        <w:numPr>
          <w:ilvl w:val="0"/>
          <w:numId w:val="1004"/>
        </w:numPr>
      </w:pPr>
      <w:r>
        <w:rPr>
          <w:b/>
          <w:bCs/>
        </w:rPr>
        <w:t xml:space="preserve">Ubicación</w:t>
      </w:r>
      <w:r>
        <w:t xml:space="preserve">: España (UNIR, normativa y rangos de precios). En otra geografía se revisarán el plan legal y las cifras económicas.</w:t>
      </w:r>
    </w:p>
    <w:p>
      <w:pPr>
        <w:pStyle w:val="Compact"/>
        <w:numPr>
          <w:ilvl w:val="0"/>
          <w:numId w:val="1004"/>
        </w:numPr>
      </w:pPr>
      <w:r>
        <w:rPr>
          <w:b/>
          <w:bCs/>
        </w:rPr>
        <w:t xml:space="preserve">Tipo de centro</w:t>
      </w:r>
      <w:r>
        <w:t xml:space="preserve">: privado con vocación concertada. Si se planteaba hospitalario o público, el plan de marketing y el modelo económico cambian sustancialmente.</w:t>
      </w:r>
    </w:p>
    <w:p>
      <w:pPr>
        <w:pStyle w:val="Compact"/>
        <w:numPr>
          <w:ilvl w:val="0"/>
          <w:numId w:val="1004"/>
        </w:numPr>
      </w:pPr>
      <w:r>
        <w:rPr>
          <w:b/>
          <w:bCs/>
        </w:rPr>
        <w:t xml:space="preserve">Equipo mínimo</w:t>
      </w:r>
      <w:r>
        <w:t xml:space="preserve">: 2 neuropsicólogos + 1 administrativo. Ampliable según planificación del grupo.</w:t>
      </w:r>
    </w:p>
    <w:p>
      <w:pPr>
        <w:pStyle w:val="Compact"/>
        <w:numPr>
          <w:ilvl w:val="0"/>
          <w:numId w:val="1004"/>
        </w:numPr>
      </w:pPr>
      <w:r>
        <w:rPr>
          <w:b/>
          <w:bCs/>
        </w:rPr>
        <w:t xml:space="preserve">Nombre de la unidad</w:t>
      </w:r>
      <w:r>
        <w:t xml:space="preserve">:</w:t>
      </w:r>
      <w:r>
        <w:t xml:space="preserve"> </w:t>
      </w:r>
      <w:r>
        <w:t xml:space="preserve">“NeuroAdulto”</w:t>
      </w:r>
      <w:r>
        <w:t xml:space="preserve"> </w:t>
      </w:r>
      <w:r>
        <w:t xml:space="preserve">es un marcador editable.</w:t>
      </w:r>
    </w:p>
    <w:bookmarkEnd w:id="22"/>
    <w:bookmarkEnd w:id="23"/>
    <w:bookmarkEnd w:id="24"/>
    <w:sectPr>
      <w:footnotePr>
        <w:numRestart w:val="eachSect"/>
      </w:footnotePr>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24"/>
        <w:szCs w:val="24"/>
        <w:lang w:bidi="ar-SA" w:eastAsia="es-ES" w:val="es-ES"/>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2026-05-16T22:45:26Z</dcterms:created>
  <dcterms:modified xsi:type="dcterms:W3CDTF">2026-05-16T22:45:26Z</dcterms:modified>
</cp:coreProperties>
</file>

<file path=docProps/custom.xml><?xml version="1.0" encoding="utf-8"?>
<Properties xmlns="http://schemas.openxmlformats.org/officeDocument/2006/custom-properties" xmlns:vt="http://schemas.openxmlformats.org/officeDocument/2006/docPropsVTypes"/>
</file>