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Supplementary Material</w:t>
      </w:r>
      <w:r>
        <w:br/>
      </w:r>
      <w:r>
        <w:t xml:space="preserve">Radiomics-Based Machine Learning and Deep Learning for Clinically Significant</w:t>
      </w:r>
      <w:r>
        <w:t xml:space="preserve"> </w:t>
      </w:r>
      <w:r>
        <w:t xml:space="preserve">Prostate Cancer Detection on Biparametric MRI</w:t>
      </w:r>
    </w:p>
    <w:bookmarkStart w:id="10" w:name="app:outerval"/>
    <w:p>
      <w:pPr>
        <w:pStyle w:val="Heading1"/>
      </w:pPr>
      <w:r>
        <w:t xml:space="preserve">Sensitivity analysis: optimistic upper bound for the deep models</w:t>
      </w:r>
      <w:r>
        <w:t xml:space="preserve"> </w:t>
      </w:r>
      <w:r>
        <w:t xml:space="preserve">under test-fold epoch selection</w:t>
      </w:r>
    </w:p>
    <w:p>
      <w:pPr>
        <w:pStyle w:val="FirstParagraph"/>
      </w:pPr>
      <w:r>
        <w:t xml:space="preserve">A natural concern when classical and deep models are compared is whether the</w:t>
      </w:r>
      <w:r>
        <w:t xml:space="preserve"> </w:t>
      </w:r>
      <w:r>
        <w:t xml:space="preserve">deep architectures were disadvantaged by their training protocol. In the main</w:t>
      </w:r>
      <w:r>
        <w:t xml:space="preserve"> </w:t>
      </w:r>
      <w:r>
        <w:t xml:space="preserve">analysis, the number of training epochs for each deep model was selected on an</w:t>
      </w:r>
      <w:r>
        <w:t xml:space="preserve"> </w:t>
      </w:r>
      <w:r>
        <w:t xml:space="preserve">internal 80:20 split of the outer-training partition, after which the model was</w:t>
      </w:r>
      <w:r>
        <w:t xml:space="preserve"> </w:t>
      </w:r>
      <w:r>
        <w:t xml:space="preserve">refit on the complete outer-training partition; the held-out outer fold was</w:t>
      </w:r>
      <w:r>
        <w:t xml:space="preserve"> </w:t>
      </w:r>
      <w:r>
        <w:t xml:space="preserve">never used for any fitting or model-selection decision, exactly mirroring the</w:t>
      </w:r>
      <w:r>
        <w:t xml:space="preserve"> </w:t>
      </w:r>
      <w:r>
        <w:t xml:space="preserve">leakage-safe treatment of the classical ensembles. To bound how much the deep</w:t>
      </w:r>
      <w:r>
        <w:t xml:space="preserve"> </w:t>
      </w:r>
      <w:r>
        <w:t xml:space="preserve">models could gain from a more permissive—but optimistically biased—protocol,</w:t>
      </w:r>
      <w:r>
        <w:t xml:space="preserve"> </w:t>
      </w:r>
      <w:r>
        <w:t xml:space="preserve">we repeated the deep-model experiments while selecting the training epoch by</w:t>
      </w:r>
      <w:r>
        <w:t xml:space="preserve"> </w:t>
      </w:r>
      <w:r>
        <w:t xml:space="preserve">monitoring the held-out outer fold itself (up to 300 epochs). This procedure</w:t>
      </w:r>
      <w:r>
        <w:t xml:space="preserve"> </w:t>
      </w:r>
      <w:r>
        <w:t xml:space="preserve">deliberately leaks information from the evaluation fold into model selection and</w:t>
      </w:r>
      <w:r>
        <w:t xml:space="preserve"> </w:t>
      </w:r>
      <w:r>
        <w:t xml:space="preserve">therefore yields an</w:t>
      </w:r>
      <w:r>
        <w:t xml:space="preserve"> </w:t>
      </w:r>
      <w:r>
        <w:rPr>
          <w:i/>
          <w:iCs/>
        </w:rPr>
        <w:t xml:space="preserve">upper bound</w:t>
      </w:r>
      <w:r>
        <w:t xml:space="preserve"> </w:t>
      </w:r>
      <w:r>
        <w:t xml:space="preserve">on deep-model performance rather than a</w:t>
      </w:r>
      <w:r>
        <w:t xml:space="preserve"> </w:t>
      </w:r>
      <w:r>
        <w:t xml:space="preserve">valid estimate of generalization; the classical models were left unchanged and</w:t>
      </w:r>
      <w:r>
        <w:t xml:space="preserve"> </w:t>
      </w:r>
      <w:r>
        <w:t xml:space="preserve">serve as the leakage-safe reference. All metrics are pooled out-of-fold values</w:t>
      </w:r>
      <w:r>
        <w:t xml:space="preserve"> </w:t>
      </w:r>
      <w:r>
        <w:t xml:space="preserve">with patient-level cluster-bootstrap 95% confidence intervals, reported at the</w:t>
      </w:r>
      <w:r>
        <w:t xml:space="preserve"> </w:t>
      </w:r>
      <w:r>
        <w:t xml:space="preserve">fixed 0.5 probability threshold.</w:t>
      </w:r>
    </w:p>
    <w:p>
      <w:pPr>
        <w:pStyle w:val="BodyText"/>
      </w:pPr>
      <w:r>
        <w:t xml:space="preserve">Even under this favorable protocol, the deep models did not overturn the main</w:t>
      </w:r>
      <w:r>
        <w:t xml:space="preserve"> </w:t>
      </w:r>
      <w:r>
        <w:t xml:space="preserve">conclusions (Table </w:t>
      </w:r>
      <w:hyperlink w:anchor="tab:outerval">
        <w:r>
          <w:rPr>
            <w:rStyle w:val="Hyperlink"/>
          </w:rPr>
          <w:t xml:space="preserve">1</w:t>
        </w:r>
      </w:hyperlink>
      <w:r>
        <w:t xml:space="preserve">). In the radiomics-only setting—the</w:t>
      </w:r>
      <w:r>
        <w:t xml:space="preserve"> </w:t>
      </w:r>
      <w:r>
        <w:t xml:space="preserve">primary comparison—the leakage-safe Random Forest (AUROC 0.814) remained at</w:t>
      </w:r>
      <w:r>
        <w:t xml:space="preserve"> </w:t>
      </w:r>
      <w:r>
        <w:t xml:space="preserve">least as discriminative as every test-fold-selected deep model (best deep AUROC</w:t>
      </w:r>
      <w:r>
        <w:t xml:space="preserve"> </w:t>
      </w:r>
      <w:r>
        <w:t xml:space="preserve">0.794), so the classical ensemble retained its advantage despite the deep models</w:t>
      </w:r>
      <w:r>
        <w:t xml:space="preserve"> </w:t>
      </w:r>
      <w:r>
        <w:t xml:space="preserve">being granted a peek at the evaluation fold. Only in the combined conditions did</w:t>
      </w:r>
      <w:r>
        <w:t xml:space="preserve"> </w:t>
      </w:r>
      <w:r>
        <w:t xml:space="preserve">the optimistically tuned deep models edge ahead of the Random Forest, and then</w:t>
      </w:r>
      <w:r>
        <w:t xml:space="preserve"> </w:t>
      </w:r>
      <w:r>
        <w:t xml:space="preserve">only marginally and with broadly overlapping confidence intervals: by</w:t>
      </w:r>
      <w:r>
        <w:t xml:space="preserve"> </w:t>
      </w:r>
      <m:oMath>
        <m:r>
          <m:rPr>
            <m:sty m:val="p"/>
          </m:rPr>
          <m:t>+</m:t>
        </m:r>
        <m:r>
          <m:t>0.009</m:t>
        </m:r>
      </m:oMath>
      <w:r>
        <w:t xml:space="preserve"> </w:t>
      </w:r>
      <w:r>
        <w:t xml:space="preserve">AUROC for the concatenation Transformer (0.837 vs. 0.828) and by</w:t>
      </w:r>
      <w:r>
        <w:t xml:space="preserve"> </w:t>
      </w:r>
      <m:oMath>
        <m:r>
          <m:rPr>
            <m:sty m:val="p"/>
          </m:rPr>
          <m:t>+</m:t>
        </m:r>
        <m:r>
          <m:t>0.015</m:t>
        </m:r>
      </m:oMath>
      <w:r>
        <w:t xml:space="preserve"> </w:t>
      </w:r>
      <w:r>
        <w:t xml:space="preserve">AUROC for the dual-branch Transformer (0.843 vs. 0.828). These small,</w:t>
      </w:r>
      <w:r>
        <w:t xml:space="preserve"> </w:t>
      </w:r>
      <w:r>
        <w:t xml:space="preserve">leakage-inflated margins are consistent with the main finding that, on this</w:t>
      </w:r>
      <w:r>
        <w:t xml:space="preserve"> </w:t>
      </w:r>
      <w:r>
        <w:t xml:space="preserve">engineered radiomic feature space, deep tabular models do not confer a robust</w:t>
      </w:r>
      <w:r>
        <w:t xml:space="preserve"> </w:t>
      </w:r>
      <w:r>
        <w:t xml:space="preserve">discrimination advantage over a calibrated tree ensemble, and they reinforce</w:t>
      </w:r>
      <w:r>
        <w:t xml:space="preserve"> </w:t>
      </w:r>
      <w:r>
        <w:t xml:space="preserve">rather than weaken that conclusion: the deep models fail to clearly surpass the</w:t>
      </w:r>
      <w:r>
        <w:t xml:space="preserve"> </w:t>
      </w:r>
      <w:r>
        <w:t xml:space="preserve">classical baseline even when the evaluation protocol is tilted in their favor.</w:t>
      </w:r>
    </w:p>
    <w:bookmarkStart w:id="9" w:name="tab:outerval"/>
    <w:p>
      <w:pPr>
        <w:pStyle w:val="TableCaption"/>
      </w:pPr>
      <w:r>
        <w:t xml:space="preserve">Optimistic upper bound for the deep models when the training epoch is</w:t>
      </w:r>
      <w:r>
        <w:t xml:space="preserve"> </w:t>
      </w:r>
      <w:r>
        <w:t xml:space="preserve">selected on the held-out outer fold (a deliberately leakage-prone protocol),</w:t>
      </w:r>
      <w:r>
        <w:t xml:space="preserve"> </w:t>
      </w:r>
      <w:r>
        <w:t xml:space="preserve">compared with the leakage-safe Random Forest reference carried over unchanged</w:t>
      </w:r>
      <w:r>
        <w:t xml:space="preserve"> </w:t>
      </w:r>
      <w:r>
        <w:t xml:space="preserve">from the main analysis. Threshold-free metrics on pooled out-of-fold predictions</w:t>
      </w:r>
      <w:r>
        <w:t xml:space="preserve"> </w:t>
      </w:r>
      <w:r>
        <w:t xml:space="preserve">with patient-level cluster-bootstrap 95% confidence intervals; lower Brier is</w:t>
      </w:r>
      <w:r>
        <w:t xml:space="preserve"> </w:t>
      </w:r>
      <w:r>
        <w:t xml:space="preserve">better. Deep-model rows are optimistic upper bounds and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valid</w:t>
      </w:r>
      <w:r>
        <w:t xml:space="preserve"> </w:t>
      </w:r>
      <w:r>
        <w:t xml:space="preserve">estimates of generalization.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timistic upper bound for the deep models when the training epoch is selected on the held-out outer fold (a deliberately leakage-prone protocol), compared with the leakage-safe Random Forest reference carried over unchanged from the main analysis. Threshold-free metrics on pooled out-of-fold predictions with patient-level cluster-bootstrap 95% confidence intervals; lower Brier is better. Deep-model rows are optimistic upper bounds and are not valid estimates of generaliz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(protocol)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AUPRC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Brier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Radiomics-only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(leakage-safe, reference)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0.814 (0.790–0.837)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0.605 (0.561–0.655)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Transformer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0.794 (0.766–0.819)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0.585 (0.544–0.636)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0.761 (0.735–0.788)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0.559 (0.519–0.608)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Transformer–CapsNet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0.793 (0.767–0.818)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0.588 (0.545–0.634)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Radiomics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clinical (concat)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(leakage-safe, reference)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 (0.805–0.851)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0.634 (0.591–0.683)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Transformer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0.837 (0.815–0.860)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0.649 (0.606–0.697)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0.831 (0.809–0.853)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0.646 (0.605–0.691)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Transformer–CapsNet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 (0.806–0.852)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 (0.612–0.696)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Radiomics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clinical (dual)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(leakage-safe, reference)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 (0.805–0.851)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0.634 (0.591–0.683)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Dual Transformer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0.843 (0.821–0.864)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0.671 (0.628–0.716)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Dual 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0.840 (0.817–0.861)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0.661 (0.620–0.706)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Dual Transformer–CapsNet (test-fold epoch)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0.829 (0.806–0.851)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0.621 (0.581–0.673)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0.171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Radiomics-Based Machine Learning and Deep Learning for Clinically Significant Prostate Cancer Detection on Biparametric MRI</dc:title>
  <dc:creator/>
  <cp:keywords/>
  <dcterms:created xsi:type="dcterms:W3CDTF">2026-06-18T12:39:26Z</dcterms:created>
  <dcterms:modified xsi:type="dcterms:W3CDTF">2026-06-18T12:39:26Z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