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200" w:before="2200"/>
        <w:jc w:val="center"/>
      </w:pPr>
      <w:r>
        <w:rPr>
          <w:b/>
          <w:bCs/>
          <w:i w:val="false"/>
          <w:iCs w:val="false"/>
          <w:color w:val="1F3864"/>
          <w:sz w:val="60"/>
          <w:szCs w:val="60"/>
        </w:rPr>
        <w:t xml:space="preserve">DOCUMENTACIÓN 3</w:t>
      </w:r>
    </w:p>
    <w:p>
      <w:pPr>
        <w:spacing w:after="80" w:before="0"/>
        <w:jc w:val="center"/>
      </w:pPr>
      <w:r>
        <w:rPr>
          <w:b/>
          <w:bCs/>
          <w:i w:val="false"/>
          <w:iCs w:val="false"/>
          <w:sz w:val="32"/>
          <w:szCs w:val="32"/>
        </w:rPr>
        <w:t xml:space="preserve">DIAGRAMA DE MÉTODO DE PRECEDENCIAS (PDM)</w:t>
      </w:r>
    </w:p>
    <w:p>
      <w:pPr>
        <w:spacing w:after="500" w:before="0"/>
        <w:jc w:val="center"/>
      </w:pPr>
      <w:r>
        <w:rPr>
          <w:b/>
          <w:bCs/>
          <w:i w:val="false"/>
          <w:iCs w:val="false"/>
          <w:sz w:val="32"/>
          <w:szCs w:val="32"/>
        </w:rPr>
        <w:t xml:space="preserve">DIAGRAMA DE MÉTODO DE FLECHAS (ADM)</w:t>
      </w:r>
    </w:p>
    <w:p>
      <w:pPr>
        <w:spacing w:after="1400" w:before="0"/>
        <w:jc w:val="center"/>
      </w:pPr>
      <w:r>
        <w:rPr>
          <w:b w:val="false"/>
          <w:bCs w:val="false"/>
          <w:i/>
          <w:iCs/>
          <w:sz w:val="24"/>
          <w:szCs w:val="24"/>
        </w:rPr>
        <w:t xml:space="preserve">Ciclo de vida completo del proyecto · Ruta crítica y holguras</w:t>
      </w:r>
    </w:p>
    <w:p>
      <w:pPr>
        <w:spacing w:after="400" w:before="0"/>
        <w:jc w:val="center"/>
      </w:pPr>
      <w:r>
        <w:rPr>
          <w:b w:val="false"/>
          <w:bCs w:val="false"/>
          <w:i w:val="false"/>
          <w:iCs w:val="false"/>
          <w:sz w:val="24"/>
          <w:szCs w:val="24"/>
        </w:rPr>
        <w:t xml:space="preserve">Proyecto: NUTRILINK — Sistema de Gestión de Inventarios Médicos y Alimentarios en Refugios</w:t>
      </w:r>
    </w:p>
    <w:p>
      <w:pPr>
        <w:spacing w:after="2200" w:before="0"/>
        <w:jc w:val="center"/>
      </w:pPr>
      <w:r>
        <w:rPr>
          <w:b w:val="false"/>
          <w:bCs w:val="false"/>
          <w:i w:val="false"/>
          <w:iCs w:val="false"/>
          <w:sz w:val="24"/>
          <w:szCs w:val="24"/>
        </w:rPr>
        <w:t xml:space="preserve">Unidad de tiempo: día hábil</w:t>
      </w:r>
    </w:p>
    <w:p>
      <w:pPr>
        <w:spacing w:after="200" w:before="0"/>
        <w:jc w:val="center"/>
      </w:pPr>
      <w:r>
        <w:rPr>
          <w:b w:val="false"/>
          <w:bCs w:val="false"/>
          <w:i w:val="false"/>
          <w:iCs w:val="false"/>
          <w:sz w:val="24"/>
          <w:szCs w:val="24"/>
        </w:rPr>
        <w:t xml:space="preserve">Asignatura / Materia: [pendiente]</w:t>
      </w:r>
    </w:p>
    <w:p>
      <w:pPr>
        <w:spacing w:after="200" w:before="0"/>
        <w:jc w:val="center"/>
      </w:pPr>
      <w:r>
        <w:rPr>
          <w:b w:val="false"/>
          <w:bCs w:val="false"/>
          <w:i w:val="false"/>
          <w:iCs w:val="false"/>
          <w:sz w:val="24"/>
          <w:szCs w:val="24"/>
        </w:rPr>
        <w:t xml:space="preserve">Estudiante: [pendiente]</w:t>
      </w:r>
    </w:p>
    <w:p>
      <w:pPr>
        <w:spacing w:after="200" w:before="0"/>
        <w:jc w:val="center"/>
      </w:pPr>
      <w:r>
        <w:rPr>
          <w:b w:val="false"/>
          <w:bCs w:val="false"/>
          <w:i w:val="false"/>
          <w:iCs w:val="false"/>
          <w:sz w:val="24"/>
          <w:szCs w:val="24"/>
        </w:rPr>
        <w:t xml:space="preserve">Docente: [pendiente]</w:t>
      </w:r>
    </w:p>
    <w:p>
      <w:pPr>
        <w:spacing w:after="0" w:before="0"/>
        <w:jc w:val="center"/>
      </w:pPr>
      <w:r>
        <w:rPr>
          <w:b w:val="false"/>
          <w:bCs w:val="false"/>
          <w:i w:val="false"/>
          <w:iCs w:val="false"/>
          <w:sz w:val="24"/>
          <w:szCs w:val="24"/>
        </w:rPr>
        <w:t xml:space="preserve">Fecha: 07 de octubre de 2026</w:t>
      </w:r>
    </w:p>
    <w:p>
      <w:pPr>
        <w:pStyle w:val="Heading1"/>
        <w:pageBreakBefore/>
        <w:spacing w:after="160" w:before="240"/>
      </w:pPr>
      <w:r>
        <w:t xml:space="preserve">1. Datos generales del proyecto</w:t>
      </w:r>
    </w:p>
    <w:p>
      <w:pPr>
        <w:spacing w:after="120" w:before="0"/>
      </w:pPr>
      <w:r>
        <w:rPr>
          <w:b w:val="false"/>
          <w:bCs w:val="false"/>
          <w:i w:val="false"/>
          <w:iCs w:val="false"/>
          <w:sz w:val="22"/>
          <w:szCs w:val="22"/>
        </w:rPr>
        <w:t xml:space="preserve">La presente documentación desarrolla los dos diagramas de redes de proyecto exigidos para el sistema NUTRILINK — Sistema de Gestión de Inventarios Médicos y Alimentarios en Refugios, abarcando el ciclo de vida completo del proyecto (Inicio → Análisis → Diseño → Construcción → Pruebas → Implantación → Cierre).</w:t>
      </w:r>
    </w:p>
    <w:p>
      <w:pPr>
        <w:spacing w:after="120" w:before="0"/>
      </w:pPr>
      <w:r>
        <w:rPr>
          <w:b w:val="false"/>
          <w:bCs w:val="false"/>
          <w:i w:val="false"/>
          <w:iCs w:val="false"/>
          <w:sz w:val="22"/>
          <w:szCs w:val="22"/>
        </w:rPr>
        <w:t xml:space="preserve">Tabla 1. Resumen de la red de proyecto.</w:t>
      </w:r>
    </w:p>
    <w:tbl>
      <w:tblPr>
        <w:tblW w:type="dxa" w:w="9600"/>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3600"/>
        <w:gridCol w:w="6000"/>
      </w:tblGrid>
      <w:tr>
        <w:trPr>
          <w:tblHeader/>
        </w:trPr>
        <w:tc>
          <w:tcPr>
            <w:tcW w:type="dxa" w:w="36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Concepto</w:t>
            </w:r>
          </w:p>
        </w:tc>
        <w:tc>
          <w:tcPr>
            <w:tcW w:type="dxa" w:w="60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Valor</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Proyecto</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NUTRILINK — Sistema de Gestión de Inventarios Médicos y Alimentarios en Refugios</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Fases (ciclo de vida)</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7 (Inicio, Análisis, Diseño, Construcción, Pruebas, Implantación, Cierre)</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Número de actividades</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25</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Unidad de tiempo</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día hábil</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Duración total del proyecto</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91 días hábiles</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Ruta crítica</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A1 → A2 → A3 → B1 → B2 → C1 → D1 → D2 → D3 → D4 → E1 → E2 → E3 → F1 → F2 → F3 → G2  (91 días)</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Actividades críticas (HT = 0)</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17 de 25</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Eventos en el ADM</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24</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Actividades ficticias (dummy)</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7 (d1, d2, d3, d4, d5, d6, d7)</w:t>
            </w:r>
          </w:p>
        </w:tc>
      </w:tr>
      <w:tr>
        <w:tc>
          <w:tcPr>
            <w:tcW w:type="dxa" w:w="3600"/>
            <w:shd w:fill="F2F2F2" w:color="auto" w:val="clear"/>
            <w:tcMar>
              <w:top w:type="dxa" w:w="30"/>
              <w:left w:type="dxa" w:w="70"/>
              <w:bottom w:type="dxa" w:w="30"/>
              <w:right w:type="dxa" w:w="70"/>
            </w:tcMar>
            <w:vAlign w:val="center"/>
          </w:tcPr>
          <w:p>
            <w:pPr>
              <w:spacing w:after="0"/>
              <w:jc w:val="left"/>
            </w:pPr>
            <w:r>
              <w:rPr>
                <w:b/>
                <w:bCs/>
                <w:i w:val="false"/>
                <w:iCs w:val="false"/>
                <w:sz w:val="16"/>
                <w:szCs w:val="16"/>
              </w:rPr>
              <w:t xml:space="preserve">Eventos de unión entre partes (ADM)</w:t>
            </w:r>
          </w:p>
        </w:tc>
        <w:tc>
          <w:tcPr>
            <w:tcW w:type="dxa" w:w="6000"/>
            <w:tcMar>
              <w:top w:type="dxa" w:w="30"/>
              <w:left w:type="dxa" w:w="70"/>
              <w:bottom w:type="dxa" w:w="30"/>
              <w:right w:type="dxa" w:w="70"/>
            </w:tcMar>
            <w:vAlign w:val="center"/>
          </w:tcPr>
          <w:p>
            <w:pPr>
              <w:spacing w:after="0"/>
              <w:jc w:val="left"/>
            </w:pPr>
            <w:r>
              <w:rPr>
                <w:b w:val="false"/>
                <w:bCs w:val="false"/>
                <w:i w:val="false"/>
                <w:iCs w:val="false"/>
                <w:sz w:val="16"/>
                <w:szCs w:val="16"/>
              </w:rPr>
              <w:t xml:space="preserve">9, 11, 12 (partes 1–2) y 16 (partes 2–3)</w:t>
            </w:r>
          </w:p>
        </w:tc>
      </w:tr>
    </w:tbl>
    <w:p>
      <w:pPr>
        <w:pStyle w:val="Heading1"/>
        <w:spacing w:after="160" w:before="240"/>
      </w:pPr>
      <w:r>
        <w:t xml:space="preserve">2. Pasos seguidos para elaborar el diagrama PDM</w:t>
      </w:r>
    </w:p>
    <w:p>
      <w:pPr>
        <w:spacing w:after="120" w:before="0"/>
      </w:pPr>
      <w:r>
        <w:rPr>
          <w:b w:val="false"/>
          <w:bCs w:val="false"/>
          <w:i w:val="false"/>
          <w:iCs w:val="false"/>
          <w:sz w:val="22"/>
          <w:szCs w:val="22"/>
        </w:rPr>
        <w:t xml:space="preserve">El Método de Precedencias (PDM) representa cada actividad como un nodo y cada dependencia como una flecha. Se han seguido los pasos siguientes:</w:t>
      </w:r>
    </w:p>
    <w:p>
      <w:pPr>
        <w:spacing w:after="80"/>
        <w:ind w:left="360" w:hanging="360"/>
      </w:pPr>
      Descomposición del proyecto en actividades (estructura de desglose): se dividió el ciclo de vida completo en 7 fases y 25 actividades identificadas con el código A1…G2 (A = Inicio, B = Análisis, C = Diseño, D = Construcción, E = Pruebas, F = Implantación, G = Cierre).
    </w:p>
    <w:p>
      <w:pPr>
        <w:spacing w:after="80"/>
        <w:ind w:left="360" w:hanging="360"/>
      </w:pPr>
      Estimación de la duración de cada actividad (d) en días hábiles.
    </w:p>
    <w:p>
      <w:pPr>
        <w:spacing w:after="80"/>
        <w:ind w:left="360" w:hanging="360"/>
      </w:pPr>
      Establecimiento de las relaciones de precedencia (predecesoras y sucesoras), es decir, qué actividad debe terminar antes de que empiece otra. Todas las relaciones son de tipo fin–inicio (FS).
    </w:p>
    <w:p>
      <w:pPr>
        <w:spacing w:after="80"/>
        <w:ind w:left="360" w:hanging="360"/>
      </w:pPr>
      Pasada hacia adelante (PASO): se calculan el inicio temprano ES = máximo de los EF de las predecesoras (0 si no tiene predecesoras) y el fin temprano EF = ES + d.
    </w:p>
    <w:p>
      <w:pPr>
        <w:spacing w:after="80"/>
        <w:ind w:left="360" w:hanging="360"/>
      </w:pPr>
      Pasada hacia atrás (PAST): se calculan el fin tardío LF = mínimo de los LS de las sucesoras (duración total si no tiene sucesoras) y el inicio tardío LS = LF − d.
    </w:p>
    <w:p>
      <w:pPr>
        <w:spacing w:after="80"/>
        <w:ind w:left="360" w:hanging="360"/>
      </w:pPr>
      Cálculo de la holgura total (HT): HT = LS − ES = LF − EF.
    </w:p>
    <w:p>
      <w:pPr>
        <w:spacing w:after="80"/>
        <w:ind w:left="360" w:hanging="360"/>
      </w:pPr>
      Identificación de la ruta crítica: secuencia de actividades con HT = 0; su suma es la duración mínima del proyecto.
    </w:p>
    <w:p>
      <w:pPr>
        <w:spacing w:after="80"/>
        <w:ind w:left="360" w:hanging="360"/>
      </w:pPr>
      Comprobación de que el PDM no contiene ciclos y de que todas las actividades están conectadas al inicio y al final del proyecto.
    </w:p>
    <w:p>
      <w:pPr>
        <w:spacing w:after="80"/>
        <w:ind w:left="360" w:hanging="360"/>
      </w:pPr>
      Conversión de la red a ADM (método de flechas) para obtener eventos, actividades ficticias y los tiempos de evento (TE/TL).
    </w:p>
    <w:p>
      <w:pPr>
        <w:pStyle w:val="Heading1"/>
        <w:spacing w:after="160" w:before="240"/>
      </w:pPr>
      <w:r>
        <w:t xml:space="preserve">3. Normas del método de precedencias (PDM)</w:t>
      </w:r>
    </w:p>
    <w:p>
      <w:pPr>
        <w:pStyle w:val="ListParagraph"/>
        <w:numPr>
          <w:ilvl w:val="0"/>
          <w:numId w:val="1"/>
        </w:numPr>
        <w:spacing w:after="60"/>
      </w:pPr>
      <w:r>
        <w:rPr>
          <w:b w:val="false"/>
          <w:bCs w:val="false"/>
          <w:i w:val="false"/>
          <w:iCs w:val="false"/>
          <w:sz w:val="22"/>
          <w:szCs w:val="22"/>
        </w:rPr>
        <w:t xml:space="preserve">N1. Toda actividad del proyecto aparece una sola vez en la red, con un código identificativo único.</w:t>
      </w:r>
    </w:p>
    <w:p>
      <w:pPr>
        <w:pStyle w:val="ListParagraph"/>
        <w:numPr>
          <w:ilvl w:val="0"/>
          <w:numId w:val="1"/>
        </w:numPr>
        <w:spacing w:after="60"/>
      </w:pPr>
      <w:r>
        <w:rPr>
          <w:b w:val="false"/>
          <w:bCs w:val="false"/>
          <w:i w:val="false"/>
          <w:iCs w:val="false"/>
          <w:sz w:val="22"/>
          <w:szCs w:val="22"/>
        </w:rPr>
        <w:t xml:space="preserve">N2. Toda actividad tiene una duración estimada (d) en la unidad de tiempo del proyecto.</w:t>
      </w:r>
    </w:p>
    <w:p>
      <w:pPr>
        <w:pStyle w:val="ListParagraph"/>
        <w:numPr>
          <w:ilvl w:val="0"/>
          <w:numId w:val="1"/>
        </w:numPr>
        <w:spacing w:after="60"/>
      </w:pPr>
      <w:r>
        <w:rPr>
          <w:b w:val="false"/>
          <w:bCs w:val="false"/>
          <w:i w:val="false"/>
          <w:iCs w:val="false"/>
          <w:sz w:val="22"/>
          <w:szCs w:val="22"/>
        </w:rPr>
        <w:t xml:space="preserve">N3. Las flechas expresan exclusivamente relaciones de precedencia (no duración ni recursos); el tiempo reside en los nodos.</w:t>
      </w:r>
    </w:p>
    <w:p>
      <w:pPr>
        <w:pStyle w:val="ListParagraph"/>
        <w:numPr>
          <w:ilvl w:val="0"/>
          <w:numId w:val="1"/>
        </w:numPr>
        <w:spacing w:after="60"/>
      </w:pPr>
      <w:r>
        <w:rPr>
          <w:b w:val="false"/>
          <w:bCs w:val="false"/>
          <w:i w:val="false"/>
          <w:iCs w:val="false"/>
          <w:sz w:val="22"/>
          <w:szCs w:val="22"/>
        </w:rPr>
        <w:t xml:space="preserve">N4. Cada actividad, salvo la inicial, tiene al menos una predecesora; y salvo la final, al menos una sucesora.</w:t>
      </w:r>
    </w:p>
    <w:p>
      <w:pPr>
        <w:pStyle w:val="ListParagraph"/>
        <w:numPr>
          <w:ilvl w:val="0"/>
          <w:numId w:val="1"/>
        </w:numPr>
        <w:spacing w:after="60"/>
      </w:pPr>
      <w:r>
        <w:rPr>
          <w:b w:val="false"/>
          <w:bCs w:val="false"/>
          <w:i w:val="false"/>
          <w:iCs w:val="false"/>
          <w:sz w:val="22"/>
          <w:szCs w:val="22"/>
        </w:rPr>
        <w:t xml:space="preserve">N5. No existen ciclos (retrocesos) en la red: la red es un grafo dirigido acíclico.</w:t>
      </w:r>
    </w:p>
    <w:p>
      <w:pPr>
        <w:pStyle w:val="ListParagraph"/>
        <w:numPr>
          <w:ilvl w:val="0"/>
          <w:numId w:val="1"/>
        </w:numPr>
        <w:spacing w:after="60"/>
      </w:pPr>
      <w:r>
        <w:rPr>
          <w:b w:val="false"/>
          <w:bCs w:val="false"/>
          <w:i w:val="false"/>
          <w:iCs w:val="false"/>
          <w:sz w:val="22"/>
          <w:szCs w:val="22"/>
        </w:rPr>
        <w:t xml:space="preserve">N6. Existe un único punto de inicio y un único punto de fin del proyecto.</w:t>
      </w:r>
    </w:p>
    <w:p>
      <w:pPr>
        <w:pStyle w:val="ListParagraph"/>
        <w:numPr>
          <w:ilvl w:val="0"/>
          <w:numId w:val="1"/>
        </w:numPr>
        <w:spacing w:after="60"/>
      </w:pPr>
      <w:r>
        <w:rPr>
          <w:b w:val="false"/>
          <w:bCs w:val="false"/>
          <w:i w:val="false"/>
          <w:iCs w:val="false"/>
          <w:sz w:val="22"/>
          <w:szCs w:val="22"/>
        </w:rPr>
        <w:t xml:space="preserve">N7. Pasada hacia adelante (PASO): ES = máx(EF de predecesoras) y EF = ES + d.</w:t>
      </w:r>
    </w:p>
    <w:p>
      <w:pPr>
        <w:pStyle w:val="ListParagraph"/>
        <w:numPr>
          <w:ilvl w:val="0"/>
          <w:numId w:val="1"/>
        </w:numPr>
        <w:spacing w:after="60"/>
      </w:pPr>
      <w:r>
        <w:rPr>
          <w:b w:val="false"/>
          <w:bCs w:val="false"/>
          <w:i w:val="false"/>
          <w:iCs w:val="false"/>
          <w:sz w:val="22"/>
          <w:szCs w:val="22"/>
        </w:rPr>
        <w:t xml:space="preserve">N8. Pasada hacia atrás (PAST): LF = mín(LS de sucesoras) y LS = LF − d.</w:t>
      </w:r>
    </w:p>
    <w:p>
      <w:pPr>
        <w:pStyle w:val="ListParagraph"/>
        <w:numPr>
          <w:ilvl w:val="0"/>
          <w:numId w:val="1"/>
        </w:numPr>
        <w:spacing w:after="60"/>
      </w:pPr>
      <w:r>
        <w:rPr>
          <w:b w:val="false"/>
          <w:bCs w:val="false"/>
          <w:i w:val="false"/>
          <w:iCs w:val="false"/>
          <w:sz w:val="22"/>
          <w:szCs w:val="22"/>
        </w:rPr>
        <w:t xml:space="preserve">N9. Holgura total: HT = LS − ES = LF − EF. Si HT = 0, la actividad es crítica.</w:t>
      </w:r>
    </w:p>
    <w:p>
      <w:pPr>
        <w:pStyle w:val="ListParagraph"/>
        <w:numPr>
          <w:ilvl w:val="0"/>
          <w:numId w:val="1"/>
        </w:numPr>
        <w:spacing w:after="60"/>
      </w:pPr>
      <w:r>
        <w:rPr>
          <w:b w:val="false"/>
          <w:bCs w:val="false"/>
          <w:i w:val="false"/>
          <w:iCs w:val="false"/>
          <w:sz w:val="22"/>
          <w:szCs w:val="22"/>
        </w:rPr>
        <w:t xml:space="preserve">N10. La duración del proyecto es el EF de la(s) actividad(es) final(es) y coincide con la suma de la ruta crítica.</w:t>
      </w:r>
    </w:p>
    <w:p>
      <w:pPr>
        <w:pStyle w:val="Heading2"/>
        <w:spacing w:after="120" w:before="200"/>
      </w:pPr>
      <w:r>
        <w:t xml:space="preserve">3.1. Inventario de actividades</w:t>
      </w:r>
    </w:p>
    <w:p>
      <w:pPr>
        <w:spacing w:after="120" w:before="0"/>
      </w:pPr>
      <w:r>
        <w:rPr>
          <w:b w:val="false"/>
          <w:bCs w:val="false"/>
          <w:i w:val="false"/>
          <w:iCs w:val="false"/>
          <w:sz w:val="22"/>
          <w:szCs w:val="22"/>
        </w:rPr>
        <w:t xml:space="preserve">Tabla 2. Inventario de actividades: duración, predecesoras y sucesoras.</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800"/>
        <w:gridCol w:w="1500"/>
        <w:gridCol w:w="3400"/>
        <w:gridCol w:w="600"/>
        <w:gridCol w:w="1670"/>
        <w:gridCol w:w="1668"/>
      </w:tblGrid>
      <w:tr>
        <w:trPr>
          <w:tblHeader/>
        </w:trPr>
        <w:tc>
          <w:tcPr>
            <w:tcW w:type="dxa" w:w="8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ID</w:t>
            </w:r>
          </w:p>
        </w:tc>
        <w:tc>
          <w:tcPr>
            <w:tcW w:type="dxa" w:w="15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Fase</w:t>
            </w:r>
          </w:p>
        </w:tc>
        <w:tc>
          <w:tcPr>
            <w:tcW w:type="dxa" w:w="34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Actividad</w:t>
            </w:r>
          </w:p>
        </w:tc>
        <w:tc>
          <w:tcPr>
            <w:tcW w:type="dxa" w:w="6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d</w:t>
            </w:r>
          </w:p>
        </w:tc>
        <w:tc>
          <w:tcPr>
            <w:tcW w:type="dxa" w:w="167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Predecesoras</w:t>
            </w:r>
          </w:p>
        </w:tc>
        <w:tc>
          <w:tcPr>
            <w:tcW w:type="dxa" w:w="1668"/>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Sucesoras</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A1</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1. Inicio</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Levantamiento de requerimientos</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A2</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A2</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1. Inicio</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Estudio de factibilidad y alcance</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A1</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A3</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A3</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1. Inicio</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Acta de inicio del proyecto</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A2</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B1</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B1</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2. Análisis</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Requisitos funcionales y no funcionales</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A3</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B2, B3, C4</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B2</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2. Análisis</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Modelamiento de procesos (casos de uso / DFD)</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B1</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C1, C3</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B3</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2. Análisis</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Diseño conceptual de datos (modelo ER)</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B1</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C1, C2</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C1</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3. Diseño</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Diseño arquitectónico y técnico (Laravel 9 + SQLite)</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B2, B3</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D1</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C2</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3. Diseño</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Diseño de base de datos (esquema físico)</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B3</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D1</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C3</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3. Diseño</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Diseño de interfaces (mockups)</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B2</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D2</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C4</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3. Diseño</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Diseño de seguridad, roles y auditoría</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B1</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D6</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D1</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Entorno base, dependencias y migraciones</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C1, C2</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D2, D6</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D2</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Módulo de refugios e insumos (CRUD + ABC)</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D1, C3</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D3, D5, D7</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D3</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Módulo de kardex y lotes FEFO</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D2</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D4</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D4</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Módulo de transferencias inter-refugios</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D3</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E1</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D5</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Modelos de inventario (EOQ, reorden, Newsvendor)</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D2</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E1</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D6</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Permisos, CSRF, throttling y bitácora</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C4, D1</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E1</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D7</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Reportes PDF (dompdf) y panel Dashboard</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D2</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E1</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E1</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5. Pruebas</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Pruebas unitarias e de integración</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D4, D5, D6, D7</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E2</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E2</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5. Pruebas</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Pruebas E2E/HTTP y matriz de permisos</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E1</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E3</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E3</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5. Pruebas</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Pruebas de usabilidad (UAT) con roles demo</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E2</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F1, G1</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F1</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6. Implantación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Despliegue (Docker/Render) y datos semilla</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E3</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F2</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F2</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6. Implantación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Capacitación de usuarios</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F1</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F3</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F3</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6. Implantación</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Puesta en producción (corte operativo)</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F2, G1</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G2</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G1</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7. Cierre</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Documentación y manual de usuario</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E3</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F3, G2</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G2</w:t>
            </w:r>
          </w:p>
        </w:tc>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7. Cierre</w:t>
            </w:r>
          </w:p>
        </w:tc>
        <w:tc>
          <w:tcPr>
            <w:tcW w:type="dxa" w:w="3400"/>
            <w:tcMar>
              <w:top w:type="dxa" w:w="30"/>
              <w:left w:type="dxa" w:w="70"/>
              <w:bottom w:type="dxa" w:w="30"/>
              <w:right w:type="dxa" w:w="70"/>
            </w:tcMar>
            <w:vAlign w:val="center"/>
          </w:tcPr>
          <w:p>
            <w:pPr>
              <w:spacing w:after="0"/>
              <w:jc w:val="left"/>
            </w:pPr>
            <w:r>
              <w:rPr>
                <w:b w:val="false"/>
                <w:bCs w:val="false"/>
                <w:i w:val="false"/>
                <w:iCs w:val="false"/>
                <w:sz w:val="14"/>
                <w:szCs w:val="14"/>
              </w:rPr>
              <w:t xml:space="preserve">Cierre administrativo y lecciones aprendidas</w:t>
            </w:r>
          </w:p>
        </w:tc>
        <w:tc>
          <w:tcPr>
            <w:tcW w:type="dxa" w:w="6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w:t>
            </w:r>
          </w:p>
        </w:tc>
        <w:tc>
          <w:tcPr>
            <w:tcW w:type="dxa" w:w="167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F3, G1</w:t>
            </w:r>
          </w:p>
        </w:tc>
        <w:tc>
          <w:tcPr>
            <w:tcW w:type="dxa" w:w="166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w:t>
            </w:r>
          </w:p>
        </w:tc>
      </w:tr>
    </w:tbl>
    <w:p>
      <w:pPr>
        <w:sectPr>
          <w:footerReference w:type="default" r:id="rId6"/>
          <w:pgSz w:w="11906" w:h="16838" w:orient="portrait"/>
          <w:pgMar w:top="1134" w:right="1134" w:bottom="1134" w:left="1134" w:header="708" w:footer="708" w:gutter="0"/>
          <w:pgNumType/>
          <w:docGrid w:linePitch="360"/>
        </w:sectPr>
      </w:pPr>
    </w:p>
    <w:p>
      <w:pPr>
        <w:pStyle w:val="Heading1"/>
        <w:spacing w:after="160" w:before="240"/>
      </w:pPr>
      <w:r>
        <w:t xml:space="preserve">3.2. Matriz de dependencias (matriz de precedencias)</w:t>
      </w:r>
    </w:p>
    <w:p>
      <w:pPr>
        <w:spacing w:after="160" w:before="0"/>
      </w:pPr>
      <w:r>
        <w:rPr>
          <w:b w:val="false"/>
          <w:bCs w:val="false"/>
          <w:i w:val="false"/>
          <w:iCs w:val="false"/>
          <w:sz w:val="22"/>
          <w:szCs w:val="22"/>
        </w:rPr>
        <w:t xml:space="preserve">Filas = actividad predecesora; columnas = actividad sucesora. La marca «X» indica que la actividad de la fila debe terminar antes de que empiece la de la columna.</w:t>
      </w:r>
    </w:p>
    <w:tbl>
      <w:tblPr>
        <w:tblW w:type="dxa" w:w="15100"/>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900"/>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tblGrid>
      <w:tr>
        <w:trPr>
          <w:tblHeader/>
        </w:trPr>
        <w:tc>
          <w:tcPr>
            <w:tcW w:type="dxa" w:w="900"/>
            <w:shd w:fill="D9E2F3" w:color="auto" w:val="clear"/>
            <w:tcMar>
              <w:top w:type="dxa" w:w="10"/>
              <w:left w:type="dxa" w:w="30"/>
              <w:bottom w:type="dxa" w:w="10"/>
              <w:right w:type="dxa" w:w="30"/>
            </w:tcMar>
            <w:vAlign w:val="center"/>
          </w:tcPr>
          <w:p>
            <w:pPr>
              <w:spacing w:after="0"/>
              <w:jc w:val="left"/>
            </w:pPr>
            <w:r>
              <w:rPr>
                <w:b/>
                <w:bCs/>
                <w:i w:val="false"/>
                <w:iCs w:val="false"/>
                <w:sz w:val="11"/>
                <w:szCs w:val="11"/>
              </w:rPr>
              <w:t xml:space="preserve"/>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A1</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A2</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A3</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B1</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B2</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B3</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C1</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C2</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C3</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C4</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D1</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D2</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D3</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D4</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D5</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D6</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D7</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E1</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E2</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E3</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F1</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F2</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F3</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G1</w:t>
            </w:r>
          </w:p>
        </w:tc>
        <w:tc>
          <w:tcPr>
            <w:tcW w:type="dxa" w:w="568"/>
            <w:shd w:fill="D9E2F3"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G2</w:t>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A1</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A2</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A3</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B1</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B2</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B3</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C1</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C2</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C3</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C4</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D1</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D2</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D3</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D4</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D5</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D6</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D7</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E1</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E2</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E3</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F1</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F2</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F3</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G1</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X</w:t>
            </w:r>
          </w:p>
        </w:tc>
      </w:tr>
      <w:tr>
        <w:tc>
          <w:tcPr>
            <w:tcW w:type="dxa" w:w="900"/>
            <w:shd w:fill="F2F2F2" w:color="auto" w:val="clear"/>
            <w:tcMar>
              <w:top w:type="dxa" w:w="10"/>
              <w:left w:type="dxa" w:w="30"/>
              <w:bottom w:type="dxa" w:w="10"/>
              <w:right w:type="dxa" w:w="30"/>
            </w:tcMar>
            <w:vAlign w:val="center"/>
          </w:tcPr>
          <w:p>
            <w:pPr>
              <w:spacing w:after="0"/>
              <w:jc w:val="center"/>
            </w:pPr>
            <w:r>
              <w:rPr>
                <w:b/>
                <w:bCs/>
                <w:i w:val="false"/>
                <w:iCs w:val="false"/>
                <w:sz w:val="11"/>
                <w:szCs w:val="11"/>
              </w:rPr>
              <w:t xml:space="preserve">G2</w:t>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c>
          <w:tcPr>
            <w:tcW w:type="dxa" w:w="568"/>
            <w:tcMar>
              <w:top w:type="dxa" w:w="10"/>
              <w:left w:type="dxa" w:w="30"/>
              <w:bottom w:type="dxa" w:w="10"/>
              <w:right w:type="dxa" w:w="30"/>
            </w:tcMar>
            <w:vAlign w:val="center"/>
          </w:tcPr>
          <w:p>
            <w:pPr>
              <w:spacing w:after="0"/>
              <w:jc w:val="center"/>
            </w:pPr>
            <w:r>
              <w:rPr>
                <w:b w:val="false"/>
                <w:bCs w:val="false"/>
                <w:i w:val="false"/>
                <w:iCs w:val="false"/>
                <w:sz w:val="11"/>
                <w:szCs w:val="11"/>
              </w:rPr>
              <w:t xml:space="preserve"/>
            </w:r>
          </w:p>
        </w:tc>
      </w:tr>
    </w:tbl>
    <w:p>
      <w:pPr>
        <w:sectPr>
          <w:footerReference w:type="default" r:id="rId7"/>
          <w:pgSz w:w="16838" w:h="11906" w:orient="landscape"/>
          <w:pgMar w:top="500" w:right="500" w:bottom="500" w:left="500" w:header="300" w:footer="300" w:gutter="0"/>
          <w:pgNumType/>
          <w:docGrid w:linePitch="360"/>
        </w:sectPr>
      </w:pPr>
    </w:p>
    <w:p>
      <w:pPr>
        <w:pStyle w:val="Heading1"/>
        <w:spacing w:after="160" w:before="240"/>
      </w:pPr>
      <w:r>
        <w:t xml:space="preserve">4. Cálculo PDM: pases, holguras y ruta crítica</w:t>
      </w:r>
    </w:p>
    <w:p>
      <w:pPr>
        <w:spacing w:after="120" w:before="0"/>
      </w:pPr>
      <w:r>
        <w:rPr>
          <w:b w:val="false"/>
          <w:bCs w:val="false"/>
          <w:i w:val="false"/>
          <w:iCs w:val="false"/>
          <w:sz w:val="22"/>
          <w:szCs w:val="22"/>
        </w:rPr>
        <w:t xml:space="preserve">Tabla 3. Cálculo completo del método de precedencias (PASO = pasada hacia adelante, ES/EF = inicio/fin tempranos; PAST = pasada hacia atrás, LS/LF = inicio/fin tardíos; HT = holgura total). En rojo, las actividades críticas (HT = 0).</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750"/>
        <w:gridCol w:w="3300"/>
        <w:gridCol w:w="550"/>
        <w:gridCol w:w="950"/>
        <w:gridCol w:w="950"/>
        <w:gridCol w:w="950"/>
        <w:gridCol w:w="950"/>
        <w:gridCol w:w="700"/>
        <w:gridCol w:w="538"/>
      </w:tblGrid>
      <w:tr>
        <w:trPr>
          <w:tblHeader/>
        </w:trPr>
        <w:tc>
          <w:tcPr>
            <w:tcW w:type="dxa" w:w="75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ID</w:t>
            </w:r>
          </w:p>
        </w:tc>
        <w:tc>
          <w:tcPr>
            <w:tcW w:type="dxa" w:w="33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Actividad</w:t>
            </w:r>
          </w:p>
        </w:tc>
        <w:tc>
          <w:tcPr>
            <w:tcW w:type="dxa" w:w="55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d</w:t>
            </w:r>
          </w:p>
        </w:tc>
        <w:tc>
          <w:tcPr>
            <w:tcW w:type="dxa" w:w="95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ES</w:t>
            </w:r>
          </w:p>
        </w:tc>
        <w:tc>
          <w:tcPr>
            <w:tcW w:type="dxa" w:w="95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EF</w:t>
            </w:r>
          </w:p>
        </w:tc>
        <w:tc>
          <w:tcPr>
            <w:tcW w:type="dxa" w:w="95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LS</w:t>
            </w:r>
          </w:p>
        </w:tc>
        <w:tc>
          <w:tcPr>
            <w:tcW w:type="dxa" w:w="95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LF</w:t>
            </w:r>
          </w:p>
        </w:tc>
        <w:tc>
          <w:tcPr>
            <w:tcW w:type="dxa" w:w="7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HT</w:t>
            </w:r>
          </w:p>
        </w:tc>
        <w:tc>
          <w:tcPr>
            <w:tcW w:type="dxa" w:w="538"/>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Crít.</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A1</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Levantamiento de req.</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0</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0</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A2</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Factibilidad y alcance</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15</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A3</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Acta de inicio</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B1</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Requisitos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B2</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Modelo de procesos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tcMar>
              <w:top w:type="dxa" w:w="30"/>
              <w:left w:type="dxa" w:w="70"/>
              <w:bottom w:type="dxa" w:w="30"/>
              <w:right w:type="dxa" w:w="70"/>
            </w:tcMar>
            <w:vAlign w:val="center"/>
          </w:tcPr>
          <w:p>
            <w:pPr>
              <w:spacing w:after="0"/>
              <w:jc w:val="center"/>
            </w:pPr>
            <w:r>
              <w:rPr>
                <w:b/>
                <w:bCs/>
                <w:i w:val="false"/>
                <w:iCs w:val="false"/>
                <w:sz w:val="14"/>
                <w:szCs w:val="14"/>
              </w:rPr>
              <w:t xml:space="preserve">B3</w:t>
            </w:r>
          </w:p>
        </w:tc>
        <w:tc>
          <w:tcPr>
            <w:tcW w:type="dxa" w:w="3300"/>
            <w:tcMar>
              <w:top w:type="dxa" w:w="30"/>
              <w:left w:type="dxa" w:w="70"/>
              <w:bottom w:type="dxa" w:w="30"/>
              <w:right w:type="dxa" w:w="70"/>
            </w:tcMar>
            <w:vAlign w:val="center"/>
          </w:tcPr>
          <w:p>
            <w:pPr>
              <w:spacing w:after="0"/>
              <w:jc w:val="left"/>
            </w:pPr>
            <w:r>
              <w:rPr>
                <w:b w:val="false"/>
                <w:bCs w:val="false"/>
                <w:i w:val="false"/>
                <w:iCs w:val="false"/>
                <w:sz w:val="14"/>
                <w:szCs w:val="14"/>
              </w:rPr>
              <w:t xml:space="preserve">Modelo ER de datos</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30</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26</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7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w:t>
            </w:r>
          </w:p>
        </w:tc>
        <w:tc>
          <w:tcPr>
            <w:tcW w:type="dxa" w:w="53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C1</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Diseño arquitectónico</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tcMar>
              <w:top w:type="dxa" w:w="30"/>
              <w:left w:type="dxa" w:w="70"/>
              <w:bottom w:type="dxa" w:w="30"/>
              <w:right w:type="dxa" w:w="70"/>
            </w:tcMar>
            <w:vAlign w:val="center"/>
          </w:tcPr>
          <w:p>
            <w:pPr>
              <w:spacing w:after="0"/>
              <w:jc w:val="center"/>
            </w:pPr>
            <w:r>
              <w:rPr>
                <w:b/>
                <w:bCs/>
                <w:i w:val="false"/>
                <w:iCs w:val="false"/>
                <w:sz w:val="14"/>
                <w:szCs w:val="14"/>
              </w:rPr>
              <w:t xml:space="preserve">C2</w:t>
            </w:r>
          </w:p>
        </w:tc>
        <w:tc>
          <w:tcPr>
            <w:tcW w:type="dxa" w:w="33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Diseño de BD</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30</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35</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32</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7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53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750"/>
            <w:tcMar>
              <w:top w:type="dxa" w:w="30"/>
              <w:left w:type="dxa" w:w="70"/>
              <w:bottom w:type="dxa" w:w="30"/>
              <w:right w:type="dxa" w:w="70"/>
            </w:tcMar>
            <w:vAlign w:val="center"/>
          </w:tcPr>
          <w:p>
            <w:pPr>
              <w:spacing w:after="0"/>
              <w:jc w:val="center"/>
            </w:pPr>
            <w:r>
              <w:rPr>
                <w:b/>
                <w:bCs/>
                <w:i w:val="false"/>
                <w:iCs w:val="false"/>
                <w:sz w:val="14"/>
                <w:szCs w:val="14"/>
              </w:rPr>
              <w:t xml:space="preserve">C3</w:t>
            </w:r>
          </w:p>
        </w:tc>
        <w:tc>
          <w:tcPr>
            <w:tcW w:type="dxa" w:w="3300"/>
            <w:tcMar>
              <w:top w:type="dxa" w:w="30"/>
              <w:left w:type="dxa" w:w="70"/>
              <w:bottom w:type="dxa" w:w="30"/>
              <w:right w:type="dxa" w:w="70"/>
            </w:tcMar>
            <w:vAlign w:val="center"/>
          </w:tcPr>
          <w:p>
            <w:pPr>
              <w:spacing w:after="0"/>
              <w:jc w:val="left"/>
            </w:pPr>
            <w:r>
              <w:rPr>
                <w:b w:val="false"/>
                <w:bCs w:val="false"/>
                <w:i w:val="false"/>
                <w:iCs w:val="false"/>
                <w:sz w:val="14"/>
                <w:szCs w:val="14"/>
              </w:rPr>
              <w:t xml:space="preserve">Mockups de interfaz</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38</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34</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7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w:t>
            </w:r>
          </w:p>
        </w:tc>
        <w:tc>
          <w:tcPr>
            <w:tcW w:type="dxa" w:w="53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750"/>
            <w:tcMar>
              <w:top w:type="dxa" w:w="30"/>
              <w:left w:type="dxa" w:w="70"/>
              <w:bottom w:type="dxa" w:w="30"/>
              <w:right w:type="dxa" w:w="70"/>
            </w:tcMar>
            <w:vAlign w:val="center"/>
          </w:tcPr>
          <w:p>
            <w:pPr>
              <w:spacing w:after="0"/>
              <w:jc w:val="center"/>
            </w:pPr>
            <w:r>
              <w:rPr>
                <w:b/>
                <w:bCs/>
                <w:i w:val="false"/>
                <w:iCs w:val="false"/>
                <w:sz w:val="14"/>
                <w:szCs w:val="14"/>
              </w:rPr>
              <w:t xml:space="preserve">C4</w:t>
            </w:r>
          </w:p>
        </w:tc>
        <w:tc>
          <w:tcPr>
            <w:tcW w:type="dxa" w:w="33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Diseño de seguridad</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29</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54</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58</w:t>
            </w:r>
          </w:p>
        </w:tc>
        <w:tc>
          <w:tcPr>
            <w:tcW w:type="dxa" w:w="7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29</w:t>
            </w:r>
          </w:p>
        </w:tc>
        <w:tc>
          <w:tcPr>
            <w:tcW w:type="dxa" w:w="53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D1</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Entorno y migraciones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D2</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Módulo refugios/insumos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D3</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Kardex y lotes FEFO</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56</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56</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D4</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Transferencias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56</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56</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tcMar>
              <w:top w:type="dxa" w:w="30"/>
              <w:left w:type="dxa" w:w="70"/>
              <w:bottom w:type="dxa" w:w="30"/>
              <w:right w:type="dxa" w:w="70"/>
            </w:tcMar>
            <w:vAlign w:val="center"/>
          </w:tcPr>
          <w:p>
            <w:pPr>
              <w:spacing w:after="0"/>
              <w:jc w:val="center"/>
            </w:pPr>
            <w:r>
              <w:rPr>
                <w:b/>
                <w:bCs/>
                <w:i w:val="false"/>
                <w:iCs w:val="false"/>
                <w:sz w:val="14"/>
                <w:szCs w:val="14"/>
              </w:rPr>
              <w:t xml:space="preserve">D5</w:t>
            </w:r>
          </w:p>
        </w:tc>
        <w:tc>
          <w:tcPr>
            <w:tcW w:type="dxa" w:w="3300"/>
            <w:tcMar>
              <w:top w:type="dxa" w:w="30"/>
              <w:left w:type="dxa" w:w="70"/>
              <w:bottom w:type="dxa" w:w="30"/>
              <w:right w:type="dxa" w:w="70"/>
            </w:tcMar>
            <w:vAlign w:val="center"/>
          </w:tcPr>
          <w:p>
            <w:pPr>
              <w:spacing w:after="0"/>
              <w:jc w:val="left"/>
            </w:pPr>
            <w:r>
              <w:rPr>
                <w:b w:val="false"/>
                <w:bCs w:val="false"/>
                <w:i w:val="false"/>
                <w:iCs w:val="false"/>
                <w:sz w:val="14"/>
                <w:szCs w:val="14"/>
              </w:rPr>
              <w:t xml:space="preserve">Modelos de inventario</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55</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58</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7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9</w:t>
            </w:r>
          </w:p>
        </w:tc>
        <w:tc>
          <w:tcPr>
            <w:tcW w:type="dxa" w:w="53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750"/>
            <w:tcMar>
              <w:top w:type="dxa" w:w="30"/>
              <w:left w:type="dxa" w:w="70"/>
              <w:bottom w:type="dxa" w:w="30"/>
              <w:right w:type="dxa" w:w="70"/>
            </w:tcMar>
            <w:vAlign w:val="center"/>
          </w:tcPr>
          <w:p>
            <w:pPr>
              <w:spacing w:after="0"/>
              <w:jc w:val="center"/>
            </w:pPr>
            <w:r>
              <w:rPr>
                <w:b/>
                <w:bCs/>
                <w:i w:val="false"/>
                <w:iCs w:val="false"/>
                <w:sz w:val="14"/>
                <w:szCs w:val="14"/>
              </w:rPr>
              <w:t xml:space="preserve">D6</w:t>
            </w:r>
          </w:p>
        </w:tc>
        <w:tc>
          <w:tcPr>
            <w:tcW w:type="dxa" w:w="3300"/>
            <w:tcMar>
              <w:top w:type="dxa" w:w="30"/>
              <w:left w:type="dxa" w:w="70"/>
              <w:bottom w:type="dxa" w:w="30"/>
              <w:right w:type="dxa" w:w="70"/>
            </w:tcMar>
            <w:vAlign w:val="center"/>
          </w:tcPr>
          <w:p>
            <w:pPr>
              <w:spacing w:after="0"/>
              <w:jc w:val="left"/>
            </w:pPr>
            <w:r>
              <w:rPr>
                <w:b w:val="false"/>
                <w:bCs w:val="false"/>
                <w:i w:val="false"/>
                <w:iCs w:val="false"/>
                <w:sz w:val="14"/>
                <w:szCs w:val="14"/>
              </w:rPr>
              <w:t xml:space="preserve">Seguridad y auditoría</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47</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58</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7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53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750"/>
            <w:tcMar>
              <w:top w:type="dxa" w:w="30"/>
              <w:left w:type="dxa" w:w="70"/>
              <w:bottom w:type="dxa" w:w="30"/>
              <w:right w:type="dxa" w:w="70"/>
            </w:tcMar>
            <w:vAlign w:val="center"/>
          </w:tcPr>
          <w:p>
            <w:pPr>
              <w:spacing w:after="0"/>
              <w:jc w:val="center"/>
            </w:pPr>
            <w:r>
              <w:rPr>
                <w:b/>
                <w:bCs/>
                <w:i w:val="false"/>
                <w:iCs w:val="false"/>
                <w:sz w:val="14"/>
                <w:szCs w:val="14"/>
              </w:rPr>
              <w:t xml:space="preserve">D7</w:t>
            </w:r>
          </w:p>
        </w:tc>
        <w:tc>
          <w:tcPr>
            <w:tcW w:type="dxa" w:w="3300"/>
            <w:tcMar>
              <w:top w:type="dxa" w:w="30"/>
              <w:left w:type="dxa" w:w="70"/>
              <w:bottom w:type="dxa" w:w="30"/>
              <w:right w:type="dxa" w:w="70"/>
            </w:tcMar>
            <w:vAlign w:val="center"/>
          </w:tcPr>
          <w:p>
            <w:pPr>
              <w:spacing w:after="0"/>
              <w:jc w:val="left"/>
            </w:pPr>
            <w:r>
              <w:rPr>
                <w:b w:val="false"/>
                <w:bCs w:val="false"/>
                <w:i w:val="false"/>
                <w:iCs w:val="false"/>
                <w:sz w:val="14"/>
                <w:szCs w:val="14"/>
              </w:rPr>
              <w:t xml:space="preserve">Reportes PDF y dashboard</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54</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59</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7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53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E1</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Pruebas unitarias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70</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70</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E2</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Pruebas E2E</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70</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70</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75</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E3</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Usabilidad (UAT)</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75</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F1</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Despliegue</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F2</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Capacitación</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F3</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Puesta en producción</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89</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89</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tcMar>
              <w:top w:type="dxa" w:w="30"/>
              <w:left w:type="dxa" w:w="70"/>
              <w:bottom w:type="dxa" w:w="30"/>
              <w:right w:type="dxa" w:w="70"/>
            </w:tcMar>
            <w:vAlign w:val="center"/>
          </w:tcPr>
          <w:p>
            <w:pPr>
              <w:spacing w:after="0"/>
              <w:jc w:val="center"/>
            </w:pPr>
            <w:r>
              <w:rPr>
                <w:b/>
                <w:bCs/>
                <w:i w:val="false"/>
                <w:iCs w:val="false"/>
                <w:sz w:val="14"/>
                <w:szCs w:val="14"/>
              </w:rPr>
              <w:t xml:space="preserve">G1</w:t>
            </w:r>
          </w:p>
        </w:tc>
        <w:tc>
          <w:tcPr>
            <w:tcW w:type="dxa" w:w="3300"/>
            <w:tcMar>
              <w:top w:type="dxa" w:w="30"/>
              <w:left w:type="dxa" w:w="70"/>
              <w:bottom w:type="dxa" w:w="30"/>
              <w:right w:type="dxa" w:w="70"/>
            </w:tcMar>
            <w:vAlign w:val="center"/>
          </w:tcPr>
          <w:p>
            <w:pPr>
              <w:spacing w:after="0"/>
              <w:jc w:val="left"/>
            </w:pPr>
            <w:r>
              <w:rPr>
                <w:b w:val="false"/>
                <w:bCs w:val="false"/>
                <w:i w:val="false"/>
                <w:iCs w:val="false"/>
                <w:sz w:val="14"/>
                <w:szCs w:val="14"/>
              </w:rPr>
              <w:t xml:space="preserve">Manual de usuario</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7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53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75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G2</w:t>
            </w:r>
          </w:p>
        </w:tc>
        <w:tc>
          <w:tcPr>
            <w:tcW w:type="dxa" w:w="33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Cierre y lecciones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89</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91</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89</w:t>
            </w:r>
          </w:p>
        </w:tc>
        <w:tc>
          <w:tcPr>
            <w:tcW w:type="dxa" w:w="9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91</w:t>
            </w:r>
          </w:p>
        </w:tc>
        <w:tc>
          <w:tcPr>
            <w:tcW w:type="dxa" w:w="7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53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750"/>
            <w:shd w:fill="D9E2F3" w:color="auto" w:val="clear"/>
            <w:tcMar>
              <w:top w:type="dxa" w:w="30"/>
              <w:left w:type="dxa" w:w="70"/>
              <w:bottom w:type="dxa" w:w="30"/>
              <w:right w:type="dxa" w:w="70"/>
            </w:tcMar>
            <w:vAlign w:val="center"/>
          </w:tcPr>
          <w:p>
            <w:pPr>
              <w:spacing w:after="0"/>
              <w:jc w:val="left"/>
            </w:pPr>
            <w:r>
              <w:rPr>
                <w:b w:val="false"/>
                <w:bCs w:val="false"/>
                <w:i w:val="false"/>
                <w:iCs w:val="false"/>
                <w:sz w:val="16"/>
                <w:szCs w:val="16"/>
              </w:rPr>
              <w:t xml:space="preserve"/>
            </w:r>
          </w:p>
        </w:tc>
        <w:tc>
          <w:tcPr>
            <w:tcW w:type="dxa" w:w="3300"/>
            <w:shd w:fill="D9E2F3" w:color="auto" w:val="clear"/>
            <w:tcMar>
              <w:top w:type="dxa" w:w="30"/>
              <w:left w:type="dxa" w:w="70"/>
              <w:bottom w:type="dxa" w:w="30"/>
              <w:right w:type="dxa" w:w="70"/>
            </w:tcMar>
            <w:vAlign w:val="center"/>
          </w:tcPr>
          <w:p>
            <w:pPr>
              <w:spacing w:after="0"/>
              <w:jc w:val="left"/>
            </w:pPr>
            <w:r>
              <w:rPr>
                <w:b/>
                <w:bCs/>
                <w:i w:val="false"/>
                <w:iCs w:val="false"/>
                <w:sz w:val="14"/>
                <w:szCs w:val="14"/>
              </w:rPr>
              <w:t xml:space="preserve">TOTAL / DURACIÓN DEL PROYECTO</w:t>
            </w:r>
          </w:p>
        </w:tc>
        <w:tc>
          <w:tcPr>
            <w:tcW w:type="dxa" w:w="550"/>
            <w:shd w:fill="D9E2F3"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133</w:t>
            </w:r>
          </w:p>
        </w:tc>
        <w:tc>
          <w:tcPr>
            <w:tcW w:type="dxa" w:w="950"/>
            <w:shd w:fill="D9E2F3" w:color="auto" w:val="clear"/>
            <w:tcMar>
              <w:top w:type="dxa" w:w="30"/>
              <w:left w:type="dxa" w:w="70"/>
              <w:bottom w:type="dxa" w:w="30"/>
              <w:right w:type="dxa" w:w="70"/>
            </w:tcMar>
            <w:vAlign w:val="center"/>
          </w:tcPr>
          <w:p>
            <w:pPr>
              <w:spacing w:after="0"/>
              <w:jc w:val="left"/>
            </w:pPr>
            <w:r>
              <w:rPr>
                <w:b w:val="false"/>
                <w:bCs w:val="false"/>
                <w:i w:val="false"/>
                <w:iCs w:val="false"/>
                <w:sz w:val="16"/>
                <w:szCs w:val="16"/>
              </w:rPr>
              <w:t xml:space="preserve"/>
            </w:r>
          </w:p>
        </w:tc>
        <w:tc>
          <w:tcPr>
            <w:tcW w:type="dxa" w:w="950"/>
            <w:shd w:fill="D9E2F3"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91</w:t>
            </w:r>
          </w:p>
        </w:tc>
        <w:tc>
          <w:tcPr>
            <w:tcW w:type="dxa" w:w="950"/>
            <w:shd w:fill="D9E2F3" w:color="auto" w:val="clear"/>
            <w:tcMar>
              <w:top w:type="dxa" w:w="30"/>
              <w:left w:type="dxa" w:w="70"/>
              <w:bottom w:type="dxa" w:w="30"/>
              <w:right w:type="dxa" w:w="70"/>
            </w:tcMar>
            <w:vAlign w:val="center"/>
          </w:tcPr>
          <w:p>
            <w:pPr>
              <w:spacing w:after="0"/>
              <w:jc w:val="left"/>
            </w:pPr>
            <w:r>
              <w:rPr>
                <w:b w:val="false"/>
                <w:bCs w:val="false"/>
                <w:i w:val="false"/>
                <w:iCs w:val="false"/>
                <w:sz w:val="16"/>
                <w:szCs w:val="16"/>
              </w:rPr>
              <w:t xml:space="preserve"/>
            </w:r>
          </w:p>
        </w:tc>
        <w:tc>
          <w:tcPr>
            <w:tcW w:type="dxa" w:w="950"/>
            <w:shd w:fill="D9E2F3" w:color="auto" w:val="clear"/>
            <w:tcMar>
              <w:top w:type="dxa" w:w="30"/>
              <w:left w:type="dxa" w:w="70"/>
              <w:bottom w:type="dxa" w:w="30"/>
              <w:right w:type="dxa" w:w="70"/>
            </w:tcMar>
            <w:vAlign w:val="center"/>
          </w:tcPr>
          <w:p>
            <w:pPr>
              <w:spacing w:after="0"/>
              <w:jc w:val="left"/>
            </w:pPr>
            <w:r>
              <w:rPr>
                <w:b w:val="false"/>
                <w:bCs w:val="false"/>
                <w:i w:val="false"/>
                <w:iCs w:val="false"/>
                <w:sz w:val="16"/>
                <w:szCs w:val="16"/>
              </w:rPr>
              <w:t xml:space="preserve"/>
            </w:r>
          </w:p>
        </w:tc>
        <w:tc>
          <w:tcPr>
            <w:tcW w:type="dxa" w:w="700"/>
            <w:shd w:fill="D9E2F3" w:color="auto" w:val="clear"/>
            <w:tcMar>
              <w:top w:type="dxa" w:w="30"/>
              <w:left w:type="dxa" w:w="70"/>
              <w:bottom w:type="dxa" w:w="30"/>
              <w:right w:type="dxa" w:w="70"/>
            </w:tcMar>
            <w:vAlign w:val="center"/>
          </w:tcPr>
          <w:p>
            <w:pPr>
              <w:spacing w:after="0"/>
              <w:jc w:val="left"/>
            </w:pPr>
            <w:r>
              <w:rPr>
                <w:b w:val="false"/>
                <w:bCs w:val="false"/>
                <w:i w:val="false"/>
                <w:iCs w:val="false"/>
                <w:sz w:val="16"/>
                <w:szCs w:val="16"/>
              </w:rPr>
              <w:t xml:space="preserve"/>
            </w:r>
          </w:p>
        </w:tc>
        <w:tc>
          <w:tcPr>
            <w:tcW w:type="dxa" w:w="538"/>
            <w:shd w:fill="D9E2F3" w:color="auto" w:val="clear"/>
            <w:tcMar>
              <w:top w:type="dxa" w:w="30"/>
              <w:left w:type="dxa" w:w="70"/>
              <w:bottom w:type="dxa" w:w="30"/>
              <w:right w:type="dxa" w:w="70"/>
            </w:tcMar>
            <w:vAlign w:val="center"/>
          </w:tcPr>
          <w:p>
            <w:pPr>
              <w:spacing w:after="0"/>
              <w:jc w:val="left"/>
            </w:pPr>
            <w:r>
              <w:rPr>
                <w:b w:val="false"/>
                <w:bCs w:val="false"/>
                <w:i w:val="false"/>
                <w:iCs w:val="false"/>
                <w:sz w:val="16"/>
                <w:szCs w:val="16"/>
              </w:rPr>
              <w:t xml:space="preserve"/>
            </w:r>
          </w:p>
        </w:tc>
      </w:tr>
    </w:tbl>
    <w:p>
      <w:pPr>
        <w:spacing w:after="120" w:before="100"/>
        <w:sectPr>
          <w:footerReference w:type="default" r:id="rId8"/>
          <w:pgSz w:w="11906" w:h="16838" w:orient="portrait"/>
          <w:pgMar w:top="1134" w:right="1134" w:bottom="1134" w:left="1134" w:header="708" w:footer="708" w:gutter="0"/>
          <w:pgNumType/>
          <w:docGrid w:linePitch="360"/>
        </w:sectPr>
      </w:pPr>
      <w:r>
        <w:rPr>
          <w:b w:val="false"/>
          <w:bCs w:val="false"/>
          <w:i w:val="false"/>
          <w:iCs w:val="false"/>
          <w:sz w:val="22"/>
          <w:szCs w:val="22"/>
        </w:rPr>
        <w:t xml:space="preserve">Suma de las duraciones de todas las actividades: 133 días (incluye actividades en paralelo). Duración total del proyecto (ruta crítica): 91 días hábiles.</w:t>
      </w:r>
    </w:p>
    <w:p>
      <w:pPr>
        <w:pStyle w:val="Heading1"/>
        <w:spacing w:after="160" w:before="240"/>
      </w:pPr>
      <w:r>
        <w:t xml:space="preserve">5. Diagrama PDM (método de precedencias)</w:t>
      </w:r>
    </w:p>
    <w:p>
      <w:pPr>
        <w:spacing w:after="140" w:before="0"/>
      </w:pPr>
      <w:r>
        <w:rPr>
          <w:b w:val="false"/>
          <w:bCs w:val="false"/>
          <w:i w:val="false"/>
          <w:iCs w:val="false"/>
          <w:sz w:val="22"/>
          <w:szCs w:val="22"/>
        </w:rPr>
        <w:t xml:space="preserve">La red completa no cabe con legibilidad en una página A4, por lo que se presenta dividida en tres partes. Al inicio de las partes 2 y 3 aparecen nodos fantasma (dibujados en discontinua) que repiten las actividades de la parte anterior de las que dependen: C1, C2, C3, C4 en la parte 2 y D4, D5, D6, D7 en la parte 3. Los nodos en rojo son actividades críticas (HT = 0).</w:t>
      </w:r>
    </w:p>
    <w:p>
      <w:pPr>
        <w:spacing w:after="60"/>
        <w:jc w:val="center"/>
      </w:pPr>
      <w:r>
        <w:drawing>
          <wp:inline distT="0" distB="0" distL="0" distR="0">
            <wp:extent cx="87820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82050" cy="4953000"/>
                    </a:xfrm>
                    <a:prstGeom prst="rect">
                      <a:avLst/>
                    </a:prstGeom>
                  </pic:spPr>
                </pic:pic>
              </a:graphicData>
            </a:graphic>
          </wp:inline>
        </w:drawing>
      </w:r>
    </w:p>
    <w:p>
      <w:pPr>
        <w:spacing w:after="200" w:before="0"/>
        <w:jc w:val="center"/>
      </w:pPr>
      <w:r>
        <w:rPr>
          <w:b w:val="false"/>
          <w:bCs w:val="false"/>
          <w:i/>
          <w:iCs/>
          <w:sz w:val="17"/>
          <w:szCs w:val="17"/>
        </w:rPr>
        <w:t xml:space="preserve">Figura 1. PDM — Parte 1: fases 1. Inicio, 2. Análisis y 3. Diseño (actividades A1…C4).</w:t>
      </w:r>
    </w:p>
    <w:p>
      <w:pPr>
        <w:pageBreakBefore/>
        <w:spacing w:after="0"/>
      </w:pPr>
    </w:p>
    <w:p>
      <w:pPr>
        <w:spacing w:after="60"/>
        <w:jc w:val="center"/>
      </w:pPr>
      <w:r>
        <w:drawing>
          <wp:inline distT="0" distB="0" distL="0" distR="0">
            <wp:extent cx="6962775" cy="5715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962775" cy="5715000"/>
                    </a:xfrm>
                    <a:prstGeom prst="rect">
                      <a:avLst/>
                    </a:prstGeom>
                  </pic:spPr>
                </pic:pic>
              </a:graphicData>
            </a:graphic>
          </wp:inline>
        </w:drawing>
      </w:r>
    </w:p>
    <w:p>
      <w:pPr>
        <w:spacing w:after="200" w:before="0"/>
        <w:jc w:val="center"/>
      </w:pPr>
      <w:r>
        <w:rPr>
          <w:b w:val="false"/>
          <w:bCs w:val="false"/>
          <w:i/>
          <w:iCs/>
          <w:sz w:val="17"/>
          <w:szCs w:val="17"/>
        </w:rPr>
        <w:t xml:space="preserve">Figura 2. PDM — Parte 2: fase 4. Construcción (actividades D1…D7). C1, C2, C3, C4 en discontinua son los nodos de enlace con la parte 1.</w:t>
      </w:r>
    </w:p>
    <w:p>
      <w:pPr>
        <w:pageBreakBefore/>
        <w:spacing w:after="0"/>
      </w:pPr>
    </w:p>
    <w:p>
      <w:pPr>
        <w:spacing w:after="60"/>
        <w:jc w:val="center"/>
      </w:pPr>
      <w:r>
        <w:drawing>
          <wp:inline distT="0" distB="0" distL="0" distR="0">
            <wp:extent cx="9906000" cy="4733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906000" cy="4733925"/>
                    </a:xfrm>
                    <a:prstGeom prst="rect">
                      <a:avLst/>
                    </a:prstGeom>
                  </pic:spPr>
                </pic:pic>
              </a:graphicData>
            </a:graphic>
          </wp:inline>
        </w:drawing>
      </w:r>
    </w:p>
    <w:p>
      <w:pPr>
        <w:spacing w:after="200" w:before="0"/>
        <w:jc w:val="center"/>
        <w:sectPr>
          <w:footerReference w:type="default" r:id="rId9"/>
          <w:pgSz w:w="16838" w:h="11906" w:orient="landscape"/>
          <w:pgMar w:top="500" w:right="500" w:bottom="500" w:left="500" w:header="300" w:footer="300" w:gutter="0"/>
          <w:pgNumType/>
          <w:docGrid w:linePitch="360"/>
        </w:sectPr>
      </w:pPr>
      <w:r>
        <w:rPr>
          <w:b w:val="false"/>
          <w:bCs w:val="false"/>
          <w:i/>
          <w:iCs/>
          <w:sz w:val="17"/>
          <w:szCs w:val="17"/>
        </w:rPr>
        <w:t xml:space="preserve">Figura 3. PDM — Parte 3: fases 5. Pruebas, 6. Implantación y 7. Cierre (actividades E1…G2). D4, D5, D6, D7 en discontinua son los nodos de enlace con la parte 2.</w:t>
      </w:r>
    </w:p>
    <w:p>
      <w:pPr>
        <w:pStyle w:val="Heading1"/>
        <w:spacing w:after="160" w:before="240"/>
      </w:pPr>
      <w:r>
        <w:t xml:space="preserve">6. Método de flechas (ADM): normas y eventos</w:t>
      </w:r>
    </w:p>
    <w:p>
      <w:pPr>
        <w:spacing w:after="120" w:before="0"/>
      </w:pPr>
      <w:r>
        <w:rPr>
          <w:b w:val="false"/>
          <w:bCs w:val="false"/>
          <w:i w:val="false"/>
          <w:iCs w:val="false"/>
          <w:sz w:val="22"/>
          <w:szCs w:val="22"/>
        </w:rPr>
        <w:t xml:space="preserve">En el Método de Flechas (ADM) la actividad es la flecha y los eventos (nodos) son instantes de tiempo sin duración. Se han seguido los pasos y normas siguientes:</w:t>
      </w:r>
    </w:p>
    <w:p>
      <w:pPr>
        <w:spacing w:after="80"/>
        <w:ind w:left="360" w:hanging="360"/>
      </w:pPr>
      Cada actividad del PDM se traduce en una flecha que va desde un evento de inicio (i) hasta un evento final (j).
    </w:p>
    <w:p>
      <w:pPr>
        <w:spacing w:after="80"/>
        <w:ind w:left="360" w:hanging="360"/>
      </w:pPr>
      Se numeran los eventos de forma correlativa y de izquierda a derecha, reservando el 1 para el inicio y el 24 para el fin.
    </w:p>
    <w:p>
      <w:pPr>
        <w:spacing w:after="80"/>
        <w:ind w:left="360" w:hanging="360"/>
      </w:pPr>
      Se crean eventos intermedios cuando dos actividades comparten origen y destino, para evitar flechas paralelas con los mismos eventos.
    </w:p>
    <w:p>
      <w:pPr>
        <w:spacing w:after="80"/>
        <w:ind w:left="360" w:hanging="360"/>
      </w:pPr>
      Se añaden actividades ficticias (duración 0) cuando una sucesora depende de una predecesora que no termina en su evento de inicio (dependencias indirectas).
    </w:p>
    <w:p>
      <w:pPr>
        <w:spacing w:after="80"/>
        <w:ind w:left="360" w:hanging="360"/>
      </w:pPr>
      Cálculo hacia adelante de los tiempos de evento (TE): TE del evento inicial = 0; TE(j) = máx[TE(i) + d(i→j)].
    </w:p>
    <w:p>
      <w:pPr>
        <w:spacing w:after="80"/>
        <w:ind w:left="360" w:hanging="360"/>
      </w:pPr>
      Cálculo hacia atrás de los tiempos de evento (TL): TL del evento final = TE del evento final; TL(i) = mín[TL(j) − d(i→j)].
    </w:p>
    <w:p>
      <w:pPr>
        <w:spacing w:after="80"/>
        <w:ind w:left="360" w:hanging="360"/>
      </w:pPr>
      Holgura de la actividad i→j: HT = TL(j) − TE(i) − d(i→j) = FT − LF. HT = 0 ⇒ actividad crítica.
    </w:p>
    <w:p>
      <w:pPr>
        <w:spacing w:after="80"/>
        <w:ind w:left="360" w:hanging="360"/>
      </w:pPr>
      La duración del proyecto es TE del evento final y debe coincidir con la del PDM.
    </w:p>
    <w:p>
      <w:pPr>
        <w:pStyle w:val="Heading2"/>
        <w:spacing w:after="120" w:before="200"/>
      </w:pPr>
      <w:r>
        <w:t xml:space="preserve">6.1. Normas del método de flechas</w:t>
      </w:r>
    </w:p>
    <w:p>
      <w:pPr>
        <w:pStyle w:val="ListParagraph"/>
        <w:numPr>
          <w:ilvl w:val="0"/>
          <w:numId w:val="1"/>
        </w:numPr>
        <w:spacing w:after="60"/>
      </w:pPr>
      <w:r>
        <w:rPr>
          <w:b w:val="false"/>
          <w:bCs w:val="false"/>
          <w:i w:val="false"/>
          <w:iCs w:val="false"/>
          <w:sz w:val="22"/>
          <w:szCs w:val="22"/>
        </w:rPr>
        <w:t xml:space="preserve">N1. Un único evento inicial (evento 1) y un único evento final (evento 24).</w:t>
      </w:r>
    </w:p>
    <w:p>
      <w:pPr>
        <w:pStyle w:val="ListParagraph"/>
        <w:numPr>
          <w:ilvl w:val="0"/>
          <w:numId w:val="1"/>
        </w:numPr>
        <w:spacing w:after="60"/>
      </w:pPr>
      <w:r>
        <w:rPr>
          <w:b w:val="false"/>
          <w:bCs w:val="false"/>
          <w:i w:val="false"/>
          <w:iCs w:val="false"/>
          <w:sz w:val="22"/>
          <w:szCs w:val="22"/>
        </w:rPr>
        <w:t xml:space="preserve">N2. Toda actividad i → j cumple que i ≠ j (no hay lazos ni flechas que empiecen y terminen en el mismo evento).</w:t>
      </w:r>
    </w:p>
    <w:p>
      <w:pPr>
        <w:pStyle w:val="ListParagraph"/>
        <w:numPr>
          <w:ilvl w:val="0"/>
          <w:numId w:val="1"/>
        </w:numPr>
        <w:spacing w:after="60"/>
      </w:pPr>
      <w:r>
        <w:rPr>
          <w:b w:val="false"/>
          <w:bCs w:val="false"/>
          <w:i w:val="false"/>
          <w:iCs w:val="false"/>
          <w:sz w:val="22"/>
          <w:szCs w:val="22"/>
        </w:rPr>
        <w:t xml:space="preserve">N3. No existen dos actividades distintas con el mismo par (i, j); si se daría, se inserta un evento intermedio.</w:t>
      </w:r>
    </w:p>
    <w:p>
      <w:pPr>
        <w:pStyle w:val="ListParagraph"/>
        <w:numPr>
          <w:ilvl w:val="0"/>
          <w:numId w:val="1"/>
        </w:numPr>
        <w:spacing w:after="60"/>
      </w:pPr>
      <w:r>
        <w:rPr>
          <w:b w:val="false"/>
          <w:bCs w:val="false"/>
          <w:i w:val="false"/>
          <w:iCs w:val="false"/>
          <w:sz w:val="22"/>
          <w:szCs w:val="22"/>
        </w:rPr>
        <w:t xml:space="preserve">N4. Toda actividad parte de un evento y llega a otro; ningún evento queda aislado.</w:t>
      </w:r>
    </w:p>
    <w:p>
      <w:pPr>
        <w:pStyle w:val="ListParagraph"/>
        <w:numPr>
          <w:ilvl w:val="0"/>
          <w:numId w:val="1"/>
        </w:numPr>
        <w:spacing w:after="60"/>
      </w:pPr>
      <w:r>
        <w:rPr>
          <w:b w:val="false"/>
          <w:bCs w:val="false"/>
          <w:i w:val="false"/>
          <w:iCs w:val="false"/>
          <w:sz w:val="22"/>
          <w:szCs w:val="22"/>
        </w:rPr>
        <w:t xml:space="preserve">N5. Las actividades ficticias tienen duración 0 y solo expresan dependencia (flecha discontinua).</w:t>
      </w:r>
    </w:p>
    <w:p>
      <w:pPr>
        <w:pStyle w:val="ListParagraph"/>
        <w:numPr>
          <w:ilvl w:val="0"/>
          <w:numId w:val="1"/>
        </w:numPr>
        <w:spacing w:after="60"/>
      </w:pPr>
      <w:r>
        <w:rPr>
          <w:b w:val="false"/>
          <w:bCs w:val="false"/>
          <w:i w:val="false"/>
          <w:iCs w:val="false"/>
          <w:sz w:val="22"/>
          <w:szCs w:val="22"/>
        </w:rPr>
        <w:t xml:space="preserve">N6. Numeración correlativa ascendente de izquierda a derecha: si i → j, entonces i &lt; j.</w:t>
      </w:r>
    </w:p>
    <w:p>
      <w:pPr>
        <w:pStyle w:val="ListParagraph"/>
        <w:numPr>
          <w:ilvl w:val="0"/>
          <w:numId w:val="1"/>
        </w:numPr>
        <w:spacing w:after="60"/>
      </w:pPr>
      <w:r>
        <w:rPr>
          <w:b w:val="false"/>
          <w:bCs w:val="false"/>
          <w:i w:val="false"/>
          <w:iCs w:val="false"/>
          <w:sz w:val="22"/>
          <w:szCs w:val="22"/>
        </w:rPr>
        <w:t xml:space="preserve">N7. FT = IT + d (fin temprano = inicio temprano + duración); LF = LT + d (fin tardío = inicio tardío + duración).</w:t>
      </w:r>
    </w:p>
    <w:p>
      <w:pPr>
        <w:pStyle w:val="ListParagraph"/>
        <w:numPr>
          <w:ilvl w:val="0"/>
          <w:numId w:val="1"/>
        </w:numPr>
        <w:spacing w:after="60"/>
      </w:pPr>
      <w:r>
        <w:rPr>
          <w:b w:val="false"/>
          <w:bCs w:val="false"/>
          <w:i w:val="false"/>
          <w:iCs w:val="false"/>
          <w:sz w:val="22"/>
          <w:szCs w:val="22"/>
        </w:rPr>
        <w:t xml:space="preserve">N8. HT = FT − LF = LT − IT; si HT = 0 la actividad es crítica.</w:t>
      </w:r>
    </w:p>
    <w:p>
      <w:pPr>
        <w:pStyle w:val="ListParagraph"/>
        <w:numPr>
          <w:ilvl w:val="0"/>
          <w:numId w:val="1"/>
        </w:numPr>
        <w:spacing w:after="60"/>
      </w:pPr>
      <w:r>
        <w:rPr>
          <w:b w:val="false"/>
          <w:bCs w:val="false"/>
          <w:i w:val="false"/>
          <w:iCs w:val="false"/>
          <w:sz w:val="22"/>
          <w:szCs w:val="22"/>
        </w:rPr>
        <w:t xml:space="preserve">N9. TE del evento inicial = 0 y TL del evento final = TE del evento final (duración del proyecto).</w:t>
      </w:r>
    </w:p>
    <w:p>
      <w:pPr>
        <w:pStyle w:val="ListParagraph"/>
        <w:numPr>
          <w:ilvl w:val="0"/>
          <w:numId w:val="1"/>
        </w:numPr>
        <w:spacing w:after="60"/>
      </w:pPr>
      <w:r>
        <w:rPr>
          <w:b w:val="false"/>
          <w:bCs w:val="false"/>
          <w:i w:val="false"/>
          <w:iCs w:val="false"/>
          <w:sz w:val="22"/>
          <w:szCs w:val="22"/>
        </w:rPr>
        <w:t xml:space="preserve">N10. La duración total obtenida en el ADM coincide exactamente con la del PDM.</w:t>
      </w:r>
    </w:p>
    <w:p>
      <w:pPr>
        <w:pStyle w:val="Heading2"/>
        <w:spacing w:after="120" w:before="200"/>
      </w:pPr>
      <w:r>
        <w:t xml:space="preserve">6.2. Actividades ficticias (dummy)</w:t>
      </w:r>
    </w:p>
    <w:p>
      <w:pPr>
        <w:spacing w:after="120" w:before="0"/>
      </w:pPr>
      <w:r>
        <w:rPr>
          <w:b w:val="false"/>
          <w:bCs w:val="false"/>
          <w:i w:val="false"/>
          <w:iCs w:val="false"/>
          <w:sz w:val="22"/>
          <w:szCs w:val="22"/>
        </w:rPr>
        <w:t xml:space="preserve">Tabla 4. Actividades ficticias generadas en la conversión PDM → ADM.</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700"/>
        <w:gridCol w:w="1400"/>
        <w:gridCol w:w="1900"/>
        <w:gridCol w:w="1900"/>
        <w:gridCol w:w="3738"/>
      </w:tblGrid>
      <w:tr>
        <w:trPr>
          <w:tblHeader/>
        </w:trPr>
        <w:tc>
          <w:tcPr>
            <w:tcW w:type="dxa" w:w="7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ID</w:t>
            </w:r>
          </w:p>
        </w:tc>
        <w:tc>
          <w:tcPr>
            <w:tcW w:type="dxa" w:w="14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De → A</w:t>
            </w:r>
          </w:p>
        </w:tc>
        <w:tc>
          <w:tcPr>
            <w:tcW w:type="dxa" w:w="19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Predecesora</w:t>
            </w:r>
          </w:p>
        </w:tc>
        <w:tc>
          <w:tcPr>
            <w:tcW w:type="dxa" w:w="19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Sucesora</w:t>
            </w:r>
          </w:p>
        </w:tc>
        <w:tc>
          <w:tcPr>
            <w:tcW w:type="dxa" w:w="3738"/>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Justificación</w:t>
            </w:r>
          </w:p>
        </w:tc>
      </w:tr>
      <w:tr>
        <w:tc>
          <w:tcPr>
            <w:tcW w:type="dxa" w:w="700"/>
            <w:tcMar>
              <w:top w:type="dxa" w:w="30"/>
              <w:left w:type="dxa" w:w="70"/>
              <w:bottom w:type="dxa" w:w="30"/>
              <w:right w:type="dxa" w:w="70"/>
            </w:tcMar>
            <w:vAlign w:val="center"/>
          </w:tcPr>
          <w:p>
            <w:pPr>
              <w:spacing w:after="0"/>
              <w:jc w:val="center"/>
            </w:pPr>
            <w:r>
              <w:rPr>
                <w:b/>
                <w:bCs/>
                <w:i w:val="false"/>
                <w:iCs w:val="false"/>
                <w:sz w:val="15"/>
                <w:szCs w:val="15"/>
              </w:rPr>
              <w:t xml:space="preserve">d1</w:t>
            </w:r>
          </w:p>
        </w:tc>
        <w:tc>
          <w:tcPr>
            <w:tcW w:type="dxa" w:w="14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 → 8</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B2</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C1</w:t>
            </w:r>
          </w:p>
        </w:tc>
        <w:tc>
          <w:tcPr>
            <w:tcW w:type="dxa" w:w="3738"/>
            <w:tcMar>
              <w:top w:type="dxa" w:w="30"/>
              <w:left w:type="dxa" w:w="70"/>
              <w:bottom w:type="dxa" w:w="30"/>
              <w:right w:type="dxa" w:w="70"/>
            </w:tcMar>
            <w:vAlign w:val="center"/>
          </w:tcPr>
          <w:p>
            <w:pPr>
              <w:spacing w:after="0"/>
              <w:jc w:val="left"/>
            </w:pPr>
            <w:r>
              <w:rPr>
                <w:b w:val="false"/>
                <w:bCs w:val="false"/>
                <w:i w:val="false"/>
                <w:iCs w:val="false"/>
                <w:sz w:val="14"/>
                <w:szCs w:val="14"/>
              </w:rPr>
              <w:t xml:space="preserve">Dependencia indirecta: C1 es sucesora de B2, pero B2 no termina en el evento de inicio de C1; se expresa con una flecha de duración 0.</w:t>
            </w:r>
          </w:p>
        </w:tc>
      </w:tr>
      <w:tr>
        <w:tc>
          <w:tcPr>
            <w:tcW w:type="dxa" w:w="700"/>
            <w:tcMar>
              <w:top w:type="dxa" w:w="30"/>
              <w:left w:type="dxa" w:w="70"/>
              <w:bottom w:type="dxa" w:w="30"/>
              <w:right w:type="dxa" w:w="70"/>
            </w:tcMar>
            <w:vAlign w:val="center"/>
          </w:tcPr>
          <w:p>
            <w:pPr>
              <w:spacing w:after="0"/>
              <w:jc w:val="center"/>
            </w:pPr>
            <w:r>
              <w:rPr>
                <w:b/>
                <w:bCs/>
                <w:i w:val="false"/>
                <w:iCs w:val="false"/>
                <w:sz w:val="15"/>
                <w:szCs w:val="15"/>
              </w:rPr>
              <w:t xml:space="preserve">d2</w:t>
            </w:r>
          </w:p>
        </w:tc>
        <w:tc>
          <w:tcPr>
            <w:tcW w:type="dxa" w:w="14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 → 8</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B3</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C1</w:t>
            </w:r>
          </w:p>
        </w:tc>
        <w:tc>
          <w:tcPr>
            <w:tcW w:type="dxa" w:w="3738"/>
            <w:tcMar>
              <w:top w:type="dxa" w:w="30"/>
              <w:left w:type="dxa" w:w="70"/>
              <w:bottom w:type="dxa" w:w="30"/>
              <w:right w:type="dxa" w:w="70"/>
            </w:tcMar>
            <w:vAlign w:val="center"/>
          </w:tcPr>
          <w:p>
            <w:pPr>
              <w:spacing w:after="0"/>
              <w:jc w:val="left"/>
            </w:pPr>
            <w:r>
              <w:rPr>
                <w:b w:val="false"/>
                <w:bCs w:val="false"/>
                <w:i w:val="false"/>
                <w:iCs w:val="false"/>
                <w:sz w:val="14"/>
                <w:szCs w:val="14"/>
              </w:rPr>
              <w:t xml:space="preserve">Dependencia indirecta: C1 es sucesora de B3, pero B3 no termina en el evento de inicio de C1; se expresa con una flecha de duración 0.</w:t>
            </w:r>
          </w:p>
        </w:tc>
      </w:tr>
      <w:tr>
        <w:tc>
          <w:tcPr>
            <w:tcW w:type="dxa" w:w="700"/>
            <w:tcMar>
              <w:top w:type="dxa" w:w="30"/>
              <w:left w:type="dxa" w:w="70"/>
              <w:bottom w:type="dxa" w:w="30"/>
              <w:right w:type="dxa" w:w="70"/>
            </w:tcMar>
            <w:vAlign w:val="center"/>
          </w:tcPr>
          <w:p>
            <w:pPr>
              <w:spacing w:after="0"/>
              <w:jc w:val="center"/>
            </w:pPr>
            <w:r>
              <w:rPr>
                <w:b/>
                <w:bCs/>
                <w:i w:val="false"/>
                <w:iCs w:val="false"/>
                <w:sz w:val="15"/>
                <w:szCs w:val="15"/>
              </w:rPr>
              <w:t xml:space="preserve">d3</w:t>
            </w:r>
          </w:p>
        </w:tc>
        <w:tc>
          <w:tcPr>
            <w:tcW w:type="dxa" w:w="14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 → 11</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D1</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D2</w:t>
            </w:r>
          </w:p>
        </w:tc>
        <w:tc>
          <w:tcPr>
            <w:tcW w:type="dxa" w:w="3738"/>
            <w:tcMar>
              <w:top w:type="dxa" w:w="30"/>
              <w:left w:type="dxa" w:w="70"/>
              <w:bottom w:type="dxa" w:w="30"/>
              <w:right w:type="dxa" w:w="70"/>
            </w:tcMar>
            <w:vAlign w:val="center"/>
          </w:tcPr>
          <w:p>
            <w:pPr>
              <w:spacing w:after="0"/>
              <w:jc w:val="left"/>
            </w:pPr>
            <w:r>
              <w:rPr>
                <w:b w:val="false"/>
                <w:bCs w:val="false"/>
                <w:i w:val="false"/>
                <w:iCs w:val="false"/>
                <w:sz w:val="14"/>
                <w:szCs w:val="14"/>
              </w:rPr>
              <w:t xml:space="preserve">Dependencia indirecta: D2 es sucesora de D1, pero D1 no termina en el evento de inicio de D2; se expresa con una flecha de duración 0.</w:t>
            </w:r>
          </w:p>
        </w:tc>
      </w:tr>
      <w:tr>
        <w:tc>
          <w:tcPr>
            <w:tcW w:type="dxa" w:w="700"/>
            <w:tcMar>
              <w:top w:type="dxa" w:w="30"/>
              <w:left w:type="dxa" w:w="70"/>
              <w:bottom w:type="dxa" w:w="30"/>
              <w:right w:type="dxa" w:w="70"/>
            </w:tcMar>
            <w:vAlign w:val="center"/>
          </w:tcPr>
          <w:p>
            <w:pPr>
              <w:spacing w:after="0"/>
              <w:jc w:val="center"/>
            </w:pPr>
            <w:r>
              <w:rPr>
                <w:b/>
                <w:bCs/>
                <w:i w:val="false"/>
                <w:iCs w:val="false"/>
                <w:sz w:val="15"/>
                <w:szCs w:val="15"/>
              </w:rPr>
              <w:t xml:space="preserve">d4</w:t>
            </w:r>
          </w:p>
        </w:tc>
        <w:tc>
          <w:tcPr>
            <w:tcW w:type="dxa" w:w="14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 → 12</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D1</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D6</w:t>
            </w:r>
          </w:p>
        </w:tc>
        <w:tc>
          <w:tcPr>
            <w:tcW w:type="dxa" w:w="3738"/>
            <w:tcMar>
              <w:top w:type="dxa" w:w="30"/>
              <w:left w:type="dxa" w:w="70"/>
              <w:bottom w:type="dxa" w:w="30"/>
              <w:right w:type="dxa" w:w="70"/>
            </w:tcMar>
            <w:vAlign w:val="center"/>
          </w:tcPr>
          <w:p>
            <w:pPr>
              <w:spacing w:after="0"/>
              <w:jc w:val="left"/>
            </w:pPr>
            <w:r>
              <w:rPr>
                <w:b w:val="false"/>
                <w:bCs w:val="false"/>
                <w:i w:val="false"/>
                <w:iCs w:val="false"/>
                <w:sz w:val="14"/>
                <w:szCs w:val="14"/>
              </w:rPr>
              <w:t xml:space="preserve">Dependencia indirecta: D6 es sucesora de D1, pero D1 no termina en el evento de inicio de D6; se expresa con una flecha de duración 0.</w:t>
            </w:r>
          </w:p>
        </w:tc>
      </w:tr>
      <w:tr>
        <w:tc>
          <w:tcPr>
            <w:tcW w:type="dxa" w:w="700"/>
            <w:tcMar>
              <w:top w:type="dxa" w:w="30"/>
              <w:left w:type="dxa" w:w="70"/>
              <w:bottom w:type="dxa" w:w="30"/>
              <w:right w:type="dxa" w:w="70"/>
            </w:tcMar>
            <w:vAlign w:val="center"/>
          </w:tcPr>
          <w:p>
            <w:pPr>
              <w:spacing w:after="0"/>
              <w:jc w:val="center"/>
            </w:pPr>
            <w:r>
              <w:rPr>
                <w:b/>
                <w:bCs/>
                <w:i w:val="false"/>
                <w:iCs w:val="false"/>
                <w:sz w:val="15"/>
                <w:szCs w:val="15"/>
              </w:rPr>
              <w:t xml:space="preserve">d5</w:t>
            </w:r>
          </w:p>
        </w:tc>
        <w:tc>
          <w:tcPr>
            <w:tcW w:type="dxa" w:w="14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15 → 16</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D5</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E1</w:t>
            </w:r>
          </w:p>
        </w:tc>
        <w:tc>
          <w:tcPr>
            <w:tcW w:type="dxa" w:w="3738"/>
            <w:tcMar>
              <w:top w:type="dxa" w:w="30"/>
              <w:left w:type="dxa" w:w="70"/>
              <w:bottom w:type="dxa" w:w="30"/>
              <w:right w:type="dxa" w:w="70"/>
            </w:tcMar>
            <w:vAlign w:val="center"/>
          </w:tcPr>
          <w:p>
            <w:pPr>
              <w:spacing w:after="0"/>
              <w:jc w:val="left"/>
            </w:pPr>
            <w:r>
              <w:rPr>
                <w:b w:val="false"/>
                <w:bCs w:val="false"/>
                <w:i w:val="false"/>
                <w:iCs w:val="false"/>
                <w:sz w:val="14"/>
                <w:szCs w:val="14"/>
              </w:rPr>
              <w:t xml:space="preserve">Dependencia indirecta: E1 es sucesora de D5, pero D5 no termina en el evento de inicio de E1; se expresa con una flecha de duración 0.</w:t>
            </w:r>
          </w:p>
        </w:tc>
      </w:tr>
      <w:tr>
        <w:tc>
          <w:tcPr>
            <w:tcW w:type="dxa" w:w="700"/>
            <w:tcMar>
              <w:top w:type="dxa" w:w="30"/>
              <w:left w:type="dxa" w:w="70"/>
              <w:bottom w:type="dxa" w:w="30"/>
              <w:right w:type="dxa" w:w="70"/>
            </w:tcMar>
            <w:vAlign w:val="center"/>
          </w:tcPr>
          <w:p>
            <w:pPr>
              <w:spacing w:after="0"/>
              <w:jc w:val="center"/>
            </w:pPr>
            <w:r>
              <w:rPr>
                <w:b/>
                <w:bCs/>
                <w:i w:val="false"/>
                <w:iCs w:val="false"/>
                <w:sz w:val="15"/>
                <w:szCs w:val="15"/>
              </w:rPr>
              <w:t xml:space="preserve">d6</w:t>
            </w:r>
          </w:p>
        </w:tc>
        <w:tc>
          <w:tcPr>
            <w:tcW w:type="dxa" w:w="14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21 → 22</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G1</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F3</w:t>
            </w:r>
          </w:p>
        </w:tc>
        <w:tc>
          <w:tcPr>
            <w:tcW w:type="dxa" w:w="3738"/>
            <w:tcMar>
              <w:top w:type="dxa" w:w="30"/>
              <w:left w:type="dxa" w:w="70"/>
              <w:bottom w:type="dxa" w:w="30"/>
              <w:right w:type="dxa" w:w="70"/>
            </w:tcMar>
            <w:vAlign w:val="center"/>
          </w:tcPr>
          <w:p>
            <w:pPr>
              <w:spacing w:after="0"/>
              <w:jc w:val="left"/>
            </w:pPr>
            <w:r>
              <w:rPr>
                <w:b w:val="false"/>
                <w:bCs w:val="false"/>
                <w:i w:val="false"/>
                <w:iCs w:val="false"/>
                <w:sz w:val="14"/>
                <w:szCs w:val="14"/>
              </w:rPr>
              <w:t xml:space="preserve">Dependencia indirecta: F3 es sucesora de G1, pero G1 no termina en el evento de inicio de F3; se expresa con una flecha de duración 0.</w:t>
            </w:r>
          </w:p>
        </w:tc>
      </w:tr>
      <w:tr>
        <w:tc>
          <w:tcPr>
            <w:tcW w:type="dxa" w:w="700"/>
            <w:tcMar>
              <w:top w:type="dxa" w:w="30"/>
              <w:left w:type="dxa" w:w="70"/>
              <w:bottom w:type="dxa" w:w="30"/>
              <w:right w:type="dxa" w:w="70"/>
            </w:tcMar>
            <w:vAlign w:val="center"/>
          </w:tcPr>
          <w:p>
            <w:pPr>
              <w:spacing w:after="0"/>
              <w:jc w:val="center"/>
            </w:pPr>
            <w:r>
              <w:rPr>
                <w:b/>
                <w:bCs/>
                <w:i w:val="false"/>
                <w:iCs w:val="false"/>
                <w:sz w:val="15"/>
                <w:szCs w:val="15"/>
              </w:rPr>
              <w:t xml:space="preserve">d7</w:t>
            </w:r>
          </w:p>
        </w:tc>
        <w:tc>
          <w:tcPr>
            <w:tcW w:type="dxa" w:w="14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21 → 23</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G1</w:t>
            </w:r>
          </w:p>
        </w:tc>
        <w:tc>
          <w:tcPr>
            <w:tcW w:type="dxa" w:w="1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G2</w:t>
            </w:r>
          </w:p>
        </w:tc>
        <w:tc>
          <w:tcPr>
            <w:tcW w:type="dxa" w:w="3738"/>
            <w:tcMar>
              <w:top w:type="dxa" w:w="30"/>
              <w:left w:type="dxa" w:w="70"/>
              <w:bottom w:type="dxa" w:w="30"/>
              <w:right w:type="dxa" w:w="70"/>
            </w:tcMar>
            <w:vAlign w:val="center"/>
          </w:tcPr>
          <w:p>
            <w:pPr>
              <w:spacing w:after="0"/>
              <w:jc w:val="left"/>
            </w:pPr>
            <w:r>
              <w:rPr>
                <w:b w:val="false"/>
                <w:bCs w:val="false"/>
                <w:i w:val="false"/>
                <w:iCs w:val="false"/>
                <w:sz w:val="14"/>
                <w:szCs w:val="14"/>
              </w:rPr>
              <w:t xml:space="preserve">Dependencia indirecta: G2 es sucesora de G1, pero G1 no termina en el evento de inicio de G2; se expresa con una flecha de duración 0.</w:t>
            </w:r>
          </w:p>
        </w:tc>
      </w:tr>
    </w:tbl>
    <w:p>
      <w:pPr>
        <w:pStyle w:val="Heading2"/>
        <w:spacing w:after="120" w:before="200"/>
      </w:pPr>
      <w:r>
        <w:t xml:space="preserve">6.3. Eventos del ADM (tiempos TE y TL)</w:t>
      </w:r>
    </w:p>
    <w:p>
      <w:pPr>
        <w:spacing w:after="120" w:before="0"/>
      </w:pPr>
      <w:r>
        <w:rPr>
          <w:b w:val="false"/>
          <w:bCs w:val="false"/>
          <w:i w:val="false"/>
          <w:iCs w:val="false"/>
          <w:sz w:val="22"/>
          <w:szCs w:val="22"/>
        </w:rPr>
        <w:t xml:space="preserve">Tabla 5. Eventos: actividades entrantes y salientes, tiempo temprano (TE), tiempo tardío (TL) y holgura del evento (TL − TE).</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800"/>
        <w:gridCol w:w="3000"/>
        <w:gridCol w:w="3000"/>
        <w:gridCol w:w="900"/>
        <w:gridCol w:w="900"/>
        <w:gridCol w:w="1038"/>
      </w:tblGrid>
      <w:tr>
        <w:trPr>
          <w:tblHeader/>
        </w:trPr>
        <w:tc>
          <w:tcPr>
            <w:tcW w:type="dxa" w:w="8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Evento</w:t>
            </w:r>
          </w:p>
        </w:tc>
        <w:tc>
          <w:tcPr>
            <w:tcW w:type="dxa" w:w="30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Actividades entrantes</w:t>
            </w:r>
          </w:p>
        </w:tc>
        <w:tc>
          <w:tcPr>
            <w:tcW w:type="dxa" w:w="30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Actividades salientes</w:t>
            </w:r>
          </w:p>
        </w:tc>
        <w:tc>
          <w:tcPr>
            <w:tcW w:type="dxa" w:w="9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TE</w:t>
            </w:r>
          </w:p>
        </w:tc>
        <w:tc>
          <w:tcPr>
            <w:tcW w:type="dxa" w:w="9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TL</w:t>
            </w:r>
          </w:p>
        </w:tc>
        <w:tc>
          <w:tcPr>
            <w:tcW w:type="dxa" w:w="1038"/>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TL − TE</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1 (inicio)</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0</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2</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A1</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A2</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3</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A2</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15</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4</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A3</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17</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5</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B1</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B2, B3, C4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25</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6</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B2</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C3, d1*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31</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7</w:t>
            </w:r>
          </w:p>
        </w:tc>
        <w:tc>
          <w:tcPr>
            <w:tcW w:type="dxa" w:w="30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B3</w:t>
            </w:r>
          </w:p>
        </w:tc>
        <w:tc>
          <w:tcPr>
            <w:tcW w:type="dxa" w:w="30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C2, d2*</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30</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31</w:t>
            </w:r>
          </w:p>
        </w:tc>
        <w:tc>
          <w:tcPr>
            <w:tcW w:type="dxa" w:w="103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8</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d1*, d2*</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31</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9</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C1, C2</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37</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10</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D1</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d3*, d4*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41</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11</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C3, d3*</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D2</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41</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12</w:t>
            </w:r>
          </w:p>
        </w:tc>
        <w:tc>
          <w:tcPr>
            <w:tcW w:type="dxa" w:w="30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C4, d4*</w:t>
            </w:r>
          </w:p>
        </w:tc>
        <w:tc>
          <w:tcPr>
            <w:tcW w:type="dxa" w:w="30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D6</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41</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58</w:t>
            </w:r>
          </w:p>
        </w:tc>
        <w:tc>
          <w:tcPr>
            <w:tcW w:type="dxa" w:w="103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17</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13</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D2</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D3, D5, D7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49</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14</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D3</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56</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56</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15</w:t>
            </w:r>
          </w:p>
        </w:tc>
        <w:tc>
          <w:tcPr>
            <w:tcW w:type="dxa" w:w="30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D5</w:t>
            </w:r>
          </w:p>
        </w:tc>
        <w:tc>
          <w:tcPr>
            <w:tcW w:type="dxa" w:w="30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d5*</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55</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64</w:t>
            </w:r>
          </w:p>
        </w:tc>
        <w:tc>
          <w:tcPr>
            <w:tcW w:type="dxa" w:w="103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9</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16</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D4, D6, D7, d5*</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64</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17</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E1</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E2</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70</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18</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E2</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75</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19</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E3</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F1, G1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79</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20</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F1</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F2</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83</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21</w:t>
            </w:r>
          </w:p>
        </w:tc>
        <w:tc>
          <w:tcPr>
            <w:tcW w:type="dxa" w:w="30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G1</w:t>
            </w:r>
          </w:p>
        </w:tc>
        <w:tc>
          <w:tcPr>
            <w:tcW w:type="dxa" w:w="30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d6*, d7*</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83</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87</w:t>
            </w:r>
          </w:p>
        </w:tc>
        <w:tc>
          <w:tcPr>
            <w:tcW w:type="dxa" w:w="1038"/>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22</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F2, d6*</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87</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23</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F3, d7*</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G2</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89</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r>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24 (fin)</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G2</w:t>
            </w:r>
          </w:p>
        </w:tc>
        <w:tc>
          <w:tcPr>
            <w:tcW w:type="dxa" w:w="3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91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91</w:t>
            </w:r>
          </w:p>
        </w:tc>
        <w:tc>
          <w:tcPr>
            <w:tcW w:type="dxa" w:w="1038"/>
            <w:shd w:fill="FCE4E4"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0</w:t>
            </w:r>
          </w:p>
        </w:tc>
      </w:tr>
    </w:tbl>
    <w:p>
      <w:pPr>
        <w:spacing w:after="120" w:before="100"/>
      </w:pPr>
      <w:r>
        <w:rPr>
          <w:b w:val="false"/>
          <w:bCs w:val="false"/>
          <w:i w:val="false"/>
          <w:iCs w:val="false"/>
          <w:sz w:val="22"/>
          <w:szCs w:val="22"/>
        </w:rPr>
        <w:t xml:space="preserve">Eventos de unión: los eventos 9, 11, 12 se comparten entre la parte 1 y la parte 2 del diagrama ADM, y el evento 16 entre la parte 2 y la parte 3. Esto permite dividir la red en tres figuras sin perder su continuidad.</w:t>
      </w:r>
    </w:p>
    <w:p>
      <w:pPr>
        <w:pStyle w:val="Heading2"/>
        <w:spacing w:after="120" w:before="200"/>
      </w:pPr>
      <w:r>
        <w:t xml:space="preserve">6.4. Cálculo del ADM por actividad</w:t>
      </w:r>
    </w:p>
    <w:p>
      <w:pPr>
        <w:spacing w:after="120" w:before="0"/>
      </w:pPr>
      <w:r>
        <w:rPr>
          <w:b w:val="false"/>
          <w:bCs w:val="false"/>
          <w:i w:val="false"/>
          <w:iCs w:val="false"/>
          <w:sz w:val="22"/>
          <w:szCs w:val="22"/>
        </w:rPr>
        <w:t xml:space="preserve">Tabla 6. Cálculo de tiempos tempranos y tardíos por actividad: IT = inicio temprano (TE del evento i), FT = fin temprano (IT + d), LT = inicio tardío (TL del evento i), LF = fin tardío (LT + d), HT = FT − LF.</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1500"/>
        <w:gridCol w:w="550"/>
        <w:gridCol w:w="550"/>
        <w:gridCol w:w="550"/>
        <w:gridCol w:w="900"/>
        <w:gridCol w:w="900"/>
        <w:gridCol w:w="900"/>
        <w:gridCol w:w="900"/>
        <w:gridCol w:w="800"/>
        <w:gridCol w:w="2088"/>
      </w:tblGrid>
      <w:tr>
        <w:trPr>
          <w:tblHeader/>
        </w:trPr>
        <w:tc>
          <w:tcPr>
            <w:tcW w:type="dxa" w:w="15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Actividad</w:t>
            </w:r>
          </w:p>
        </w:tc>
        <w:tc>
          <w:tcPr>
            <w:tcW w:type="dxa" w:w="55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d</w:t>
            </w:r>
          </w:p>
        </w:tc>
        <w:tc>
          <w:tcPr>
            <w:tcW w:type="dxa" w:w="55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i</w:t>
            </w:r>
          </w:p>
        </w:tc>
        <w:tc>
          <w:tcPr>
            <w:tcW w:type="dxa" w:w="55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j</w:t>
            </w:r>
          </w:p>
        </w:tc>
        <w:tc>
          <w:tcPr>
            <w:tcW w:type="dxa" w:w="9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IT</w:t>
            </w:r>
          </w:p>
        </w:tc>
        <w:tc>
          <w:tcPr>
            <w:tcW w:type="dxa" w:w="9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FT</w:t>
            </w:r>
          </w:p>
        </w:tc>
        <w:tc>
          <w:tcPr>
            <w:tcW w:type="dxa" w:w="9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LT</w:t>
            </w:r>
          </w:p>
        </w:tc>
        <w:tc>
          <w:tcPr>
            <w:tcW w:type="dxa" w:w="9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LF</w:t>
            </w:r>
          </w:p>
        </w:tc>
        <w:tc>
          <w:tcPr>
            <w:tcW w:type="dxa" w:w="8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HT</w:t>
            </w:r>
          </w:p>
        </w:tc>
        <w:tc>
          <w:tcPr>
            <w:tcW w:type="dxa" w:w="2088"/>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Crítica</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A1 Levantamiento de req.</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A2 Factibilidad y alcance</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15</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A3 Acta de inicio</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B1 Requisitos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B2 Modelo de procesos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B3 Modelo ER de datos</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30</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26</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w:t>
            </w:r>
          </w:p>
        </w:tc>
        <w:tc>
          <w:tcPr>
            <w:tcW w:type="dxa" w:w="208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C1 Diseño arquitectónico</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C2 Diseño de BD</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9</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30</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35</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32</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208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C3 Mockups de interfaz</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11</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31</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38</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34</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w:t>
            </w:r>
          </w:p>
        </w:tc>
        <w:tc>
          <w:tcPr>
            <w:tcW w:type="dxa" w:w="208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C4 Diseño de seguridad</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12</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25</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29</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54</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58</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29</w:t>
            </w:r>
          </w:p>
        </w:tc>
        <w:tc>
          <w:tcPr>
            <w:tcW w:type="dxa" w:w="208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D1 Entorno y migraciones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9</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37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D2 Módulo refugios/insumos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11</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D3 Kardex y lotes FEFO</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13</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56</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56</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D4 Transferencias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14</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16</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56</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56</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D5 Modelos de inventario</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13</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15</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55</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58</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9</w:t>
            </w:r>
          </w:p>
        </w:tc>
        <w:tc>
          <w:tcPr>
            <w:tcW w:type="dxa" w:w="208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D6 Seguridad y auditoría</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12</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16</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41</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47</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58</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208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D7 Reportes PDF y dashboard</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13</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16</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49</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54</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59</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10</w:t>
            </w:r>
          </w:p>
        </w:tc>
        <w:tc>
          <w:tcPr>
            <w:tcW w:type="dxa" w:w="208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E1 Pruebas unitarias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16</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64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70</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E2 Pruebas E2E</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5</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17</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18</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75</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E3 Usabilidad (UAT)</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18</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75</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F1 Despliegue</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19</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20</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F2 Capacitación</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20</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22</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F3 Puesta en producción</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22</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23</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89</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r>
        <w:tc>
          <w:tcPr>
            <w:tcW w:type="dxa" w:w="1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G1 Manual de usuario</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19</w:t>
            </w:r>
          </w:p>
        </w:tc>
        <w:tc>
          <w:tcPr>
            <w:tcW w:type="dxa" w:w="55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21</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79</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83</w:t>
            </w:r>
          </w:p>
        </w:tc>
        <w:tc>
          <w:tcPr>
            <w:tcW w:type="dxa" w:w="9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87</w:t>
            </w:r>
          </w:p>
        </w:tc>
        <w:tc>
          <w:tcPr>
            <w:tcW w:type="dxa" w:w="800"/>
            <w:tcMar>
              <w:top w:type="dxa" w:w="30"/>
              <w:left w:type="dxa" w:w="70"/>
              <w:bottom w:type="dxa" w:w="30"/>
              <w:right w:type="dxa" w:w="70"/>
            </w:tcMar>
            <w:vAlign w:val="center"/>
          </w:tcPr>
          <w:p>
            <w:pPr>
              <w:spacing w:after="0"/>
              <w:jc w:val="center"/>
            </w:pPr>
            <w:r>
              <w:rPr>
                <w:b w:val="false"/>
                <w:bCs w:val="false"/>
                <w:i w:val="false"/>
                <w:iCs w:val="false"/>
                <w:sz w:val="14"/>
                <w:szCs w:val="14"/>
              </w:rPr>
              <w:t xml:space="preserve">4</w:t>
            </w:r>
          </w:p>
        </w:tc>
        <w:tc>
          <w:tcPr>
            <w:tcW w:type="dxa" w:w="2088"/>
            <w:tcMar>
              <w:top w:type="dxa" w:w="30"/>
              <w:left w:type="dxa" w:w="70"/>
              <w:bottom w:type="dxa" w:w="30"/>
              <w:right w:type="dxa" w:w="70"/>
            </w:tcMar>
            <w:vAlign w:val="center"/>
          </w:tcPr>
          <w:p>
            <w:pPr>
              <w:spacing w:after="0"/>
              <w:jc w:val="center"/>
            </w:pPr>
            <w:r>
              <w:rPr>
                <w:b w:val="false"/>
                <w:bCs w:val="false"/>
                <w:i w:val="false"/>
                <w:iCs w:val="false"/>
                <w:sz w:val="14"/>
                <w:szCs w:val="14"/>
              </w:rPr>
              <w:t xml:space="preserve">No</w:t>
            </w:r>
          </w:p>
        </w:tc>
      </w:tr>
      <w:tr>
        <w:tc>
          <w:tcPr>
            <w:tcW w:type="dxa" w:w="1500"/>
            <w:shd w:fill="FCE4E4" w:color="auto" w:val="clear"/>
            <w:tcMar>
              <w:top w:type="dxa" w:w="30"/>
              <w:left w:type="dxa" w:w="70"/>
              <w:bottom w:type="dxa" w:w="30"/>
              <w:right w:type="dxa" w:w="70"/>
            </w:tcMar>
            <w:vAlign w:val="center"/>
          </w:tcPr>
          <w:p>
            <w:pPr>
              <w:spacing w:after="0"/>
              <w:jc w:val="left"/>
            </w:pPr>
            <w:r>
              <w:rPr>
                <w:b/>
                <w:bCs/>
                <w:i w:val="false"/>
                <w:iCs w:val="false"/>
                <w:sz w:val="14"/>
                <w:szCs w:val="14"/>
              </w:rPr>
              <w:t xml:space="preserve">G2 Cierre y lecciones</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23</w:t>
            </w:r>
          </w:p>
        </w:tc>
        <w:tc>
          <w:tcPr>
            <w:tcW w:type="dxa" w:w="55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24</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91</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89</w:t>
            </w:r>
          </w:p>
        </w:tc>
        <w:tc>
          <w:tcPr>
            <w:tcW w:type="dxa" w:w="9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4"/>
                <w:szCs w:val="14"/>
              </w:rPr>
              <w:t xml:space="preserve">91</w:t>
            </w:r>
          </w:p>
        </w:tc>
        <w:tc>
          <w:tcPr>
            <w:tcW w:type="dxa" w:w="800"/>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0</w:t>
            </w:r>
          </w:p>
        </w:tc>
        <w:tc>
          <w:tcPr>
            <w:tcW w:type="dxa" w:w="2088"/>
            <w:shd w:fill="FCE4E4" w:color="auto" w:val="clear"/>
            <w:tcMar>
              <w:top w:type="dxa" w:w="30"/>
              <w:left w:type="dxa" w:w="70"/>
              <w:bottom w:type="dxa" w:w="30"/>
              <w:right w:type="dxa" w:w="70"/>
            </w:tcMar>
            <w:vAlign w:val="center"/>
          </w:tcPr>
          <w:p>
            <w:pPr>
              <w:spacing w:after="0"/>
              <w:jc w:val="center"/>
            </w:pPr>
            <w:r>
              <w:rPr>
                <w:b/>
                <w:bCs/>
                <w:i w:val="false"/>
                <w:iCs w:val="false"/>
                <w:sz w:val="14"/>
                <w:szCs w:val="14"/>
              </w:rPr>
              <w:t xml:space="preserve">Sí</w:t>
            </w:r>
          </w:p>
        </w:tc>
      </w:tr>
    </w:tbl>
    <w:p>
      <w:pPr>
        <w:sectPr>
          <w:footerReference w:type="default" r:id="rId10"/>
          <w:pgSz w:w="11906" w:h="16838" w:orient="portrait"/>
          <w:pgMar w:top="1134" w:right="1134" w:bottom="1134" w:left="1134" w:header="708" w:footer="708" w:gutter="0"/>
          <w:pgNumType/>
          <w:docGrid w:linePitch="360"/>
        </w:sectPr>
      </w:pPr>
    </w:p>
    <w:p>
      <w:pPr>
        <w:pStyle w:val="Heading1"/>
        <w:spacing w:after="160" w:before="240"/>
      </w:pPr>
      <w:r>
        <w:t xml:space="preserve">7. Diagrama ADM (método de flechas)</w:t>
      </w:r>
    </w:p>
    <w:p>
      <w:pPr>
        <w:spacing w:after="140" w:before="0"/>
      </w:pPr>
      <w:r>
        <w:rPr>
          <w:b w:val="false"/>
          <w:bCs w:val="false"/>
          <w:i w:val="false"/>
          <w:iCs w:val="false"/>
          <w:sz w:val="22"/>
          <w:szCs w:val="22"/>
        </w:rPr>
        <w:t xml:space="preserve">Al igual que el PDM, la red completa se presenta en tres partes. Las partes se enlazan mediante eventos de unión (resaltados en azul), que aparecen en las dos partes que conectan: eventos 9, 11, 12 entre la parte 1 y la 2, y evento 16 entre la parte 2 y la 3. Las flechas en rojo forman la ruta crítica y las punteadas son actividades ficticias (duración 0).</w:t>
      </w:r>
    </w:p>
    <w:p>
      <w:pPr>
        <w:spacing w:after="60"/>
        <w:jc w:val="center"/>
      </w:pPr>
      <w:r>
        <w:drawing>
          <wp:inline distT="0" distB="0" distL="0" distR="0">
            <wp:extent cx="9906000" cy="3076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906000" cy="3076575"/>
                    </a:xfrm>
                    <a:prstGeom prst="rect">
                      <a:avLst/>
                    </a:prstGeom>
                  </pic:spPr>
                </pic:pic>
              </a:graphicData>
            </a:graphic>
          </wp:inline>
        </w:drawing>
      </w:r>
    </w:p>
    <w:p>
      <w:pPr>
        <w:spacing w:after="200" w:before="0"/>
        <w:jc w:val="center"/>
      </w:pPr>
      <w:r>
        <w:rPr>
          <w:b w:val="false"/>
          <w:bCs w:val="false"/>
          <w:i/>
          <w:iCs/>
          <w:sz w:val="17"/>
          <w:szCs w:val="17"/>
        </w:rPr>
        <w:t xml:space="preserve">Figura 4. ADM — Parte 1: eventos 1 a 12 (fases Inicio, Análisis y Diseño). Inicio = evento 1; uniones con la parte 2 = eventos 9, 11, 12.</w:t>
      </w:r>
    </w:p>
    <w:p>
      <w:pPr>
        <w:pageBreakBefore/>
        <w:spacing w:after="0"/>
      </w:pPr>
    </w:p>
    <w:p>
      <w:pPr>
        <w:spacing w:after="60"/>
        <w:jc w:val="center"/>
      </w:pPr>
      <w:r>
        <w:drawing>
          <wp:inline distT="0" distB="0" distL="0" distR="0">
            <wp:extent cx="9906000" cy="3152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906000" cy="3152775"/>
                    </a:xfrm>
                    <a:prstGeom prst="rect">
                      <a:avLst/>
                    </a:prstGeom>
                  </pic:spPr>
                </pic:pic>
              </a:graphicData>
            </a:graphic>
          </wp:inline>
        </w:drawing>
      </w:r>
    </w:p>
    <w:p>
      <w:pPr>
        <w:spacing w:after="200" w:before="0"/>
        <w:jc w:val="center"/>
      </w:pPr>
      <w:r>
        <w:rPr>
          <w:b w:val="false"/>
          <w:bCs w:val="false"/>
          <w:i/>
          <w:iCs/>
          <w:sz w:val="17"/>
          <w:szCs w:val="17"/>
        </w:rPr>
        <w:t xml:space="preserve">Figura 5. ADM — Parte 2: eventos 9 a 16 (fase Construcción). Uniones: eventos 9, 11, 12 (con la parte 1) y evento 16 (con la parte 3).</w:t>
      </w:r>
    </w:p>
    <w:p>
      <w:pPr>
        <w:spacing w:after="60"/>
        <w:jc w:val="center"/>
      </w:pPr>
      <w:r>
        <w:drawing>
          <wp:inline distT="0" distB="0" distL="0" distR="0">
            <wp:extent cx="9906000" cy="1809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906000" cy="1809750"/>
                    </a:xfrm>
                    <a:prstGeom prst="rect">
                      <a:avLst/>
                    </a:prstGeom>
                  </pic:spPr>
                </pic:pic>
              </a:graphicData>
            </a:graphic>
          </wp:inline>
        </w:drawing>
      </w:r>
    </w:p>
    <w:p>
      <w:pPr>
        <w:spacing w:after="200" w:before="0"/>
        <w:jc w:val="center"/>
        <w:sectPr>
          <w:footerReference w:type="default" r:id="rId11"/>
          <w:pgSz w:w="16838" w:h="11906" w:orient="landscape"/>
          <w:pgMar w:top="500" w:right="500" w:bottom="500" w:left="500" w:header="300" w:footer="300" w:gutter="0"/>
          <w:pgNumType/>
          <w:docGrid w:linePitch="360"/>
        </w:sectPr>
      </w:pPr>
      <w:r>
        <w:rPr>
          <w:b w:val="false"/>
          <w:bCs w:val="false"/>
          <w:i/>
          <w:iCs/>
          <w:sz w:val="17"/>
          <w:szCs w:val="17"/>
        </w:rPr>
        <w:t xml:space="preserve">Figura 6. ADM — Parte 3: eventos 16 a 24 (fases Pruebas, Implantación y Cierre). Fin del proyecto = evento 24 (TE = 91).</w:t>
      </w:r>
    </w:p>
    <w:p>
      <w:pPr>
        <w:pStyle w:val="Heading1"/>
        <w:pageBreakBefore/>
        <w:spacing w:after="160" w:before="240"/>
      </w:pPr>
      <w:r>
        <w:t xml:space="preserve">8. Ruta crítica</w:t>
      </w:r>
    </w:p>
    <w:p>
      <w:pPr>
        <w:spacing w:after="120" w:before="0"/>
      </w:pPr>
      <w:r>
        <w:rPr>
          <w:b w:val="false"/>
          <w:bCs w:val="false"/>
          <w:i w:val="false"/>
          <w:iCs w:val="false"/>
          <w:sz w:val="22"/>
          <w:szCs w:val="22"/>
        </w:rPr>
        <w:t xml:space="preserve">La ruta crítica es la secuencia de actividades sin holgura (HT = 0) que conecta el inicio con el fin del proyecto. Determina la duración mínima del proyecto: cualquier retraso en una de estas actividades retrasa la fecha de entrega en la misma medida.</w:t>
      </w:r>
    </w:p>
    <w:p>
      <w:pPr>
        <w:spacing w:after="120" w:before="0"/>
      </w:pPr>
      <w:r>
        <w:rPr>
          <w:b w:val="false"/>
          <w:bCs w:val="false"/>
          <w:i w:val="false"/>
          <w:iCs w:val="false"/>
          <w:sz w:val="22"/>
          <w:szCs w:val="22"/>
        </w:rPr>
        <w:t xml:space="preserve">Tabla 7. Ruta crítica del proyecto.</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700"/>
        <w:gridCol w:w="3400"/>
        <w:gridCol w:w="3000"/>
        <w:gridCol w:w="1000"/>
        <w:gridCol w:w="1538"/>
      </w:tblGrid>
      <w:tr>
        <w:trPr>
          <w:tblHeader/>
        </w:trPr>
        <w:tc>
          <w:tcPr>
            <w:tcW w:type="dxa" w:w="7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Pos.</w:t>
            </w:r>
          </w:p>
        </w:tc>
        <w:tc>
          <w:tcPr>
            <w:tcW w:type="dxa" w:w="34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Actividad</w:t>
            </w:r>
          </w:p>
        </w:tc>
        <w:tc>
          <w:tcPr>
            <w:tcW w:type="dxa" w:w="30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Fase</w:t>
            </w:r>
          </w:p>
        </w:tc>
        <w:tc>
          <w:tcPr>
            <w:tcW w:type="dxa" w:w="10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Duración</w:t>
            </w:r>
          </w:p>
        </w:tc>
        <w:tc>
          <w:tcPr>
            <w:tcW w:type="dxa" w:w="1538"/>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Día acumulado</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A1 — Levantamiento de requerimientos</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1. Inicio</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A2 — Estudio de factibilidad y alcance</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1. Inicio</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15</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A3 — Acta de inicio del proyecto</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1. Inicio</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17</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B1 — Requisitos funcionales y no funcionales</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2. Análisis</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25</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B2 — Modelamiento de procesos (casos de uso / DFD)</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2. Análisis</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31</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C1 — Diseño arquitectónico y técnico (Laravel 9 + SQLite)</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3. Diseño</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37</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D1 — Entorno base, dependencias y migraciones</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41</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D2 — Módulo de refugios e insumos (CRUD + ABC)</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49</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9</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D3 — Módulo de kardex y lotes FEFO</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56</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10</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D4 — Módulo de transferencias inter-refugios</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4. Construcción</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64</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11</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E1 — Pruebas unitarias e de integración</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5. Pruebas</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6</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70</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12</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E2 — Pruebas E2E/HTTP y matriz de permisos</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5. Pruebas</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5</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75</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13</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E3 — Pruebas de usabilidad (UAT) con roles demo</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5. Pruebas</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79</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14</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F1 — Despliegue (Docker/Render) y datos semilla</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6. Implantación</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83</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15</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F2 — Capacitación de usuarios</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6. Implantación</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4</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87</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16</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F3 — Puesta en producción (corte operativo)</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6. Implantación</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89</w:t>
            </w:r>
          </w:p>
        </w:tc>
      </w:tr>
      <w:tr>
        <w:tc>
          <w:tcPr>
            <w:tcW w:type="dxa" w:w="7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17</w:t>
            </w:r>
          </w:p>
        </w:tc>
        <w:tc>
          <w:tcPr>
            <w:tcW w:type="dxa" w:w="34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G2 — Cierre administrativo y lecciones aprendidas</w:t>
            </w:r>
          </w:p>
        </w:tc>
        <w:tc>
          <w:tcPr>
            <w:tcW w:type="dxa" w:w="3000"/>
            <w:shd w:fill="FCE4E4" w:color="auto" w:val="clear"/>
            <w:tcMar>
              <w:top w:type="dxa" w:w="30"/>
              <w:left w:type="dxa" w:w="70"/>
              <w:bottom w:type="dxa" w:w="30"/>
              <w:right w:type="dxa" w:w="70"/>
            </w:tcMar>
            <w:vAlign w:val="center"/>
          </w:tcPr>
          <w:p>
            <w:pPr>
              <w:spacing w:after="0"/>
              <w:jc w:val="left"/>
            </w:pPr>
            <w:r>
              <w:rPr>
                <w:b w:val="false"/>
                <w:bCs w:val="false"/>
                <w:i w:val="false"/>
                <w:iCs w:val="false"/>
                <w:sz w:val="14"/>
                <w:szCs w:val="14"/>
              </w:rPr>
              <w:t xml:space="preserve">7. Cierre</w:t>
            </w:r>
          </w:p>
        </w:tc>
        <w:tc>
          <w:tcPr>
            <w:tcW w:type="dxa" w:w="1000"/>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2</w:t>
            </w:r>
          </w:p>
        </w:tc>
        <w:tc>
          <w:tcPr>
            <w:tcW w:type="dxa" w:w="1538"/>
            <w:shd w:fill="FCE4E4" w:color="auto" w:val="clear"/>
            <w:tcMar>
              <w:top w:type="dxa" w:w="30"/>
              <w:left w:type="dxa" w:w="70"/>
              <w:bottom w:type="dxa" w:w="30"/>
              <w:right w:type="dxa" w:w="70"/>
            </w:tcMar>
            <w:vAlign w:val="center"/>
          </w:tcPr>
          <w:p>
            <w:pPr>
              <w:spacing w:after="0"/>
              <w:jc w:val="center"/>
            </w:pPr>
            <w:r>
              <w:rPr>
                <w:b w:val="false"/>
                <w:bCs w:val="false"/>
                <w:i w:val="false"/>
                <w:iCs w:val="false"/>
                <w:sz w:val="15"/>
                <w:szCs w:val="15"/>
              </w:rPr>
              <w:t xml:space="preserve">91</w:t>
            </w:r>
          </w:p>
        </w:tc>
      </w:tr>
      <w:tr>
        <w:tc>
          <w:tcPr>
            <w:tcW w:type="dxa" w:w="700"/>
            <w:shd w:fill="D9E2F3" w:color="auto" w:val="clear"/>
            <w:tcMar>
              <w:top w:type="dxa" w:w="30"/>
              <w:left w:type="dxa" w:w="70"/>
              <w:bottom w:type="dxa" w:w="30"/>
              <w:right w:type="dxa" w:w="70"/>
            </w:tcMar>
            <w:vAlign w:val="center"/>
          </w:tcPr>
          <w:p>
            <w:pPr>
              <w:spacing w:after="0"/>
              <w:jc w:val="left"/>
            </w:pPr>
            <w:r>
              <w:rPr>
                <w:b w:val="false"/>
                <w:bCs w:val="false"/>
                <w:i w:val="false"/>
                <w:iCs w:val="false"/>
                <w:sz w:val="16"/>
                <w:szCs w:val="16"/>
              </w:rPr>
              <w:t xml:space="preserve"/>
            </w:r>
          </w:p>
        </w:tc>
        <w:tc>
          <w:tcPr>
            <w:tcW w:type="dxa" w:w="3400"/>
            <w:shd w:fill="D9E2F3" w:color="auto" w:val="clear"/>
            <w:tcMar>
              <w:top w:type="dxa" w:w="30"/>
              <w:left w:type="dxa" w:w="70"/>
              <w:bottom w:type="dxa" w:w="30"/>
              <w:right w:type="dxa" w:w="70"/>
            </w:tcMar>
            <w:vAlign w:val="center"/>
          </w:tcPr>
          <w:p>
            <w:pPr>
              <w:spacing w:after="0"/>
              <w:jc w:val="left"/>
            </w:pPr>
            <w:r>
              <w:rPr>
                <w:b/>
                <w:bCs/>
                <w:i w:val="false"/>
                <w:iCs w:val="false"/>
                <w:sz w:val="15"/>
                <w:szCs w:val="15"/>
              </w:rPr>
              <w:t xml:space="preserve">TOTAL — duración del proyecto</w:t>
            </w:r>
          </w:p>
        </w:tc>
        <w:tc>
          <w:tcPr>
            <w:tcW w:type="dxa" w:w="3000"/>
            <w:shd w:fill="D9E2F3" w:color="auto" w:val="clear"/>
            <w:tcMar>
              <w:top w:type="dxa" w:w="30"/>
              <w:left w:type="dxa" w:w="70"/>
              <w:bottom w:type="dxa" w:w="30"/>
              <w:right w:type="dxa" w:w="70"/>
            </w:tcMar>
            <w:vAlign w:val="center"/>
          </w:tcPr>
          <w:p>
            <w:pPr>
              <w:spacing w:after="0"/>
              <w:jc w:val="left"/>
            </w:pPr>
            <w:r>
              <w:rPr>
                <w:b w:val="false"/>
                <w:bCs w:val="false"/>
                <w:i w:val="false"/>
                <w:iCs w:val="false"/>
                <w:sz w:val="16"/>
                <w:szCs w:val="16"/>
              </w:rPr>
              <w:t xml:space="preserve"/>
            </w:r>
          </w:p>
        </w:tc>
        <w:tc>
          <w:tcPr>
            <w:tcW w:type="dxa" w:w="1000"/>
            <w:shd w:fill="D9E2F3"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91</w:t>
            </w:r>
          </w:p>
        </w:tc>
        <w:tc>
          <w:tcPr>
            <w:tcW w:type="dxa" w:w="1538"/>
            <w:shd w:fill="D9E2F3" w:color="auto" w:val="clear"/>
            <w:tcMar>
              <w:top w:type="dxa" w:w="30"/>
              <w:left w:type="dxa" w:w="70"/>
              <w:bottom w:type="dxa" w:w="30"/>
              <w:right w:type="dxa" w:w="70"/>
            </w:tcMar>
            <w:vAlign w:val="center"/>
          </w:tcPr>
          <w:p>
            <w:pPr>
              <w:spacing w:after="0"/>
              <w:jc w:val="center"/>
            </w:pPr>
            <w:r>
              <w:rPr>
                <w:b/>
                <w:bCs/>
                <w:i w:val="false"/>
                <w:iCs w:val="false"/>
                <w:sz w:val="15"/>
                <w:szCs w:val="15"/>
              </w:rPr>
              <w:t xml:space="preserve">91</w:t>
            </w:r>
          </w:p>
        </w:tc>
      </w:tr>
    </w:tbl>
    <w:p>
      <w:pPr>
        <w:spacing w:after="120" w:before="100"/>
      </w:pPr>
      <w:r>
        <w:rPr>
          <w:b w:val="false"/>
          <w:bCs w:val="false"/>
          <w:i w:val="false"/>
          <w:iCs w:val="false"/>
          <w:sz w:val="22"/>
          <w:szCs w:val="22"/>
        </w:rPr>
        <w:t xml:space="preserve">Secuencia: A1 → A2 → A3 → B1 → B2 → C1 → D1 → D2 → D3 → D4 → E1 → E2 → E3 → F1 → F2 → F3 → G2</w:t>
      </w:r>
    </w:p>
    <w:p>
      <w:pPr>
        <w:spacing w:after="120" w:before="60"/>
      </w:pPr>
      <w:r>
        <w:rPr>
          <w:b w:val="false"/>
          <w:bCs w:val="false"/>
          <w:i w:val="false"/>
          <w:iCs w:val="false"/>
          <w:sz w:val="22"/>
          <w:szCs w:val="22"/>
        </w:rPr>
        <w:t xml:space="preserve">Actividades no críticas y su holgura (HT en días): C4 (29), D6 (17), D7 (10), D5 (9), G1 (4), C3 (3), C2 (2), B3 (1).</w:t>
      </w:r>
    </w:p>
    <w:p>
      <w:pPr>
        <w:pStyle w:val="Heading1"/>
        <w:spacing w:after="160" w:before="240"/>
      </w:pPr>
      <w:r>
        <w:t xml:space="preserve">9. Checklist de cumplimiento de las normas</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800"/>
        <w:gridCol w:w="5500"/>
        <w:gridCol w:w="900"/>
        <w:gridCol w:w="2438"/>
      </w:tblGrid>
      <w:tr>
        <w:trPr>
          <w:tblHeader/>
        </w:trPr>
        <w:tc>
          <w:tcPr>
            <w:tcW w:type="dxa" w:w="8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Norma</w:t>
            </w:r>
          </w:p>
        </w:tc>
        <w:tc>
          <w:tcPr>
            <w:tcW w:type="dxa" w:w="55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Descripción</w:t>
            </w:r>
          </w:p>
        </w:tc>
        <w:tc>
          <w:tcPr>
            <w:tcW w:type="dxa" w:w="9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Se cumple</w:t>
            </w:r>
          </w:p>
        </w:tc>
        <w:tc>
          <w:tcPr>
            <w:tcW w:type="dxa" w:w="2438"/>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Comprobación</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P1</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Se han identificado todas las actividades del ciclo de vida completo sin solapamientos ambiguos.</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Inventario (Tabla 2): 25 actividades en 7 fases</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P2</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Cada actividad tiene duración estimada en la unidad de tiempo.</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Columna «d» de las Tablas 2, 3 y 6</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P3</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Las flechas del PDM solo expresan precedencia (FS).</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Matriz de dependencias (§3.2)</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P4</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No existen ciclos en la red.</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generar_red.js valida aciclicidad antes de calcular</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P5</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PASO: ES = máx(EF de predecesoras); EF = ES + d.</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Verificado fila a fila en la Tabla 3</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P6</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PAST: LF = mín(LS de sucesoras); LS = LF − d.</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Verificado fila a fila en la Tabla 3</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P7</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HT = LS − ES y HT = 0 identifica la ruta crítica.</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Columna HT de la Tabla 3 (17 actividades con HT = 0)</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P8</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La duración total es constante entre PDM y ADM.</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91 días en ambos métodos (Tablas 3, 6 y 7)</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A1</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Un solo evento inicial y uno final en el ADM.</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Evento 1 y evento 24 (Tabla 5)</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A2</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En toda actividad i → j se cumple i &lt; j (sin lazos).</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Columnas i/j de la Tabla 6</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A3</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No hay dos actividades con el mismo par (i, j).</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Eventos intermedios generados en la conversión</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A4</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Dependencias indirectas resueltas con ficticias de duración 0.</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Tabla 4: d1 … d7 (7 ficticias)</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A5</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TE y TL calculados hacia adelante y hacia atrás.</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Tabla 5: TE(j) = máx[TE(i)+d], TL(i) = mín[TL(j)−d]</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A6</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HT de la actividad = FT − LF = LT − IT.</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Columna HT de la Tabla 6 = columna HT de la Tabla 3</w:t>
            </w:r>
          </w:p>
        </w:tc>
      </w:tr>
      <w:tr>
        <w:trPr>
          <w:cantSplit/>
        </w:trPr>
        <w:tc>
          <w:tcPr>
            <w:tcW w:type="dxa" w:w="800"/>
            <w:tcMar>
              <w:top w:type="dxa" w:w="30"/>
              <w:left w:type="dxa" w:w="70"/>
              <w:bottom w:type="dxa" w:w="30"/>
              <w:right w:type="dxa" w:w="70"/>
            </w:tcMar>
            <w:vAlign w:val="center"/>
          </w:tcPr>
          <w:p>
            <w:pPr>
              <w:spacing w:after="0"/>
              <w:jc w:val="center"/>
            </w:pPr>
            <w:r>
              <w:rPr>
                <w:b/>
                <w:bCs/>
                <w:i w:val="false"/>
                <w:iCs w:val="false"/>
                <w:sz w:val="15"/>
                <w:szCs w:val="15"/>
              </w:rPr>
              <w:t xml:space="preserve">A7</w:t>
            </w:r>
          </w:p>
        </w:tc>
        <w:tc>
          <w:tcPr>
            <w:tcW w:type="dxa" w:w="5500"/>
            <w:tcMar>
              <w:top w:type="dxa" w:w="30"/>
              <w:left w:type="dxa" w:w="70"/>
              <w:bottom w:type="dxa" w:w="30"/>
              <w:right w:type="dxa" w:w="70"/>
            </w:tcMar>
            <w:vAlign w:val="center"/>
          </w:tcPr>
          <w:p>
            <w:pPr>
              <w:spacing w:after="0"/>
              <w:jc w:val="left"/>
            </w:pPr>
            <w:r>
              <w:rPr>
                <w:b w:val="false"/>
                <w:bCs w:val="false"/>
                <w:i w:val="false"/>
                <w:iCs w:val="false"/>
                <w:sz w:val="14"/>
                <w:szCs w:val="14"/>
              </w:rPr>
              <w:t xml:space="preserve">Las partes del diagrama se unen por eventos comunes.</w:t>
            </w:r>
          </w:p>
        </w:tc>
        <w:tc>
          <w:tcPr>
            <w:tcW w:type="dxa" w:w="900"/>
            <w:tcMar>
              <w:top w:type="dxa" w:w="30"/>
              <w:left w:type="dxa" w:w="70"/>
              <w:bottom w:type="dxa" w:w="30"/>
              <w:right w:type="dxa" w:w="70"/>
            </w:tcMar>
            <w:vAlign w:val="center"/>
          </w:tcPr>
          <w:p>
            <w:pPr>
              <w:spacing w:after="0"/>
              <w:jc w:val="center"/>
            </w:pPr>
            <w:r>
              <w:rPr>
                <w:b/>
                <w:bCs/>
                <w:i w:val="false"/>
                <w:iCs w:val="false"/>
                <w:color w:val="2E7D32"/>
                <w:sz w:val="15"/>
                <w:szCs w:val="15"/>
              </w:rPr>
              <w:t xml:space="preserve">Sí</w:t>
            </w:r>
          </w:p>
        </w:tc>
        <w:tc>
          <w:tcPr>
            <w:tcW w:type="dxa" w:w="2438"/>
            <w:tcMar>
              <w:top w:type="dxa" w:w="30"/>
              <w:left w:type="dxa" w:w="70"/>
              <w:bottom w:type="dxa" w:w="30"/>
              <w:right w:type="dxa" w:w="70"/>
            </w:tcMar>
            <w:vAlign w:val="center"/>
          </w:tcPr>
          <w:p>
            <w:pPr>
              <w:spacing w:after="0"/>
              <w:jc w:val="left"/>
            </w:pPr>
            <w:r>
              <w:rPr>
                <w:b w:val="false"/>
                <w:bCs w:val="false"/>
                <w:i w:val="false"/>
                <w:iCs w:val="false"/>
                <w:sz w:val="14"/>
                <w:szCs w:val="14"/>
              </w:rPr>
              <w:t xml:space="preserve">Eventos 9, 11, 12 (P1↔P2) y 16 (P2↔P3), Figuras 4 a 6</w:t>
            </w:r>
          </w:p>
        </w:tc>
      </w:tr>
    </w:tbl>
    <w:p>
      <w:pPr>
        <w:pStyle w:val="Heading1"/>
        <w:spacing w:after="160" w:before="240"/>
      </w:pPr>
      <w:r>
        <w:t xml:space="preserve">10. Conclusiones</w:t>
      </w:r>
    </w:p>
    <w:p>
      <w:pPr>
        <w:pStyle w:val="ListParagraph"/>
        <w:numPr>
          <w:ilvl w:val="0"/>
          <w:numId w:val="1"/>
        </w:numPr>
        <w:spacing w:after="60"/>
      </w:pPr>
      <w:r>
        <w:rPr>
          <w:b w:val="false"/>
          <w:bCs w:val="false"/>
          <w:i w:val="false"/>
          <w:iCs w:val="false"/>
          <w:sz w:val="22"/>
          <w:szCs w:val="22"/>
        </w:rPr>
        <w:t xml:space="preserve">La duración mínima del proyecto NUTRILINK — Sistema de Gestión de Inventarios Médicos y Alimentarios en Refugios es de 91 días hábiles, resultado idéntico en el PDM y en el ADM, lo que valida la conversión de una red a otra.</w:t>
      </w:r>
    </w:p>
    <w:p>
      <w:pPr>
        <w:pStyle w:val="ListParagraph"/>
        <w:numPr>
          <w:ilvl w:val="0"/>
          <w:numId w:val="1"/>
        </w:numPr>
        <w:spacing w:after="60"/>
      </w:pPr>
      <w:r>
        <w:rPr>
          <w:b w:val="false"/>
          <w:bCs w:val="false"/>
          <w:i w:val="false"/>
          <w:iCs w:val="false"/>
          <w:sz w:val="22"/>
          <w:szCs w:val="22"/>
        </w:rPr>
        <w:t xml:space="preserve">La ruta crítica está formada por 17 actividades (A1 → A2 → A3 → B1 → B2 → C1 → D1 → D2 → D3 → D4 → E1 → E2 → E3 → F1 → F2 → F3 → G2) que no tienen holgura: cualquier retraso en ellas atrasa la entrega en el mismo número de días.</w:t>
      </w:r>
    </w:p>
    <w:p>
      <w:pPr>
        <w:pStyle w:val="ListParagraph"/>
        <w:numPr>
          <w:ilvl w:val="0"/>
          <w:numId w:val="1"/>
        </w:numPr>
        <w:spacing w:after="60"/>
      </w:pPr>
      <w:r>
        <w:rPr>
          <w:b w:val="false"/>
          <w:bCs w:val="false"/>
          <w:i w:val="false"/>
          <w:iCs w:val="false"/>
          <w:sz w:val="22"/>
          <w:szCs w:val="22"/>
        </w:rPr>
        <w:t xml:space="preserve">Solo 8 actividades disponen de holgura; la de mayor margen es C4 (Diseño de seguridad) con HT = 29 días, lo que permite reasignar recursos desde ella hacia las actividades críticas sin afectar a la fecha final.</w:t>
      </w:r>
    </w:p>
    <w:p>
      <w:pPr>
        <w:pStyle w:val="ListParagraph"/>
        <w:numPr>
          <w:ilvl w:val="0"/>
          <w:numId w:val="1"/>
        </w:numPr>
        <w:spacing w:after="60"/>
      </w:pPr>
      <w:r>
        <w:rPr>
          <w:b w:val="false"/>
          <w:bCs w:val="false"/>
          <w:i w:val="false"/>
          <w:iCs w:val="false"/>
          <w:sz w:val="22"/>
          <w:szCs w:val="22"/>
        </w:rPr>
        <w:t xml:space="preserve">El paralelismo entre fases es importante (25 actividades suman 133 días de trabajo frente a 91 días de proyecto), por lo que la planificación debe cuidar especialmente la asignación de recursos en las fases de Diseño y Construcción, donde coinciden más actividades.</w:t>
      </w:r>
    </w:p>
    <w:p>
      <w:pPr>
        <w:pStyle w:val="ListParagraph"/>
        <w:numPr>
          <w:ilvl w:val="0"/>
          <w:numId w:val="1"/>
        </w:numPr>
        <w:spacing w:after="60"/>
      </w:pPr>
      <w:r>
        <w:rPr>
          <w:b w:val="false"/>
          <w:bCs w:val="false"/>
          <w:i w:val="false"/>
          <w:iCs w:val="false"/>
          <w:sz w:val="22"/>
          <w:szCs w:val="22"/>
        </w:rPr>
        <w:t xml:space="preserve">La conversión al ADM ha requerido 7 actividades ficticias y 24 eventos; los eventos de unión 9, 11, 12, 16 permiten presentar la red en tres partes manteniendo la coherencia del conjunto.</w:t>
      </w:r>
    </w:p>
    <w:p>
      <w:pPr>
        <w:pStyle w:val="ListParagraph"/>
        <w:numPr>
          <w:ilvl w:val="0"/>
          <w:numId w:val="1"/>
        </w:numPr>
        <w:spacing w:after="60"/>
      </w:pPr>
      <w:r>
        <w:rPr>
          <w:b w:val="false"/>
          <w:bCs w:val="false"/>
          <w:i w:val="false"/>
          <w:iCs w:val="false"/>
          <w:sz w:val="22"/>
          <w:szCs w:val="22"/>
        </w:rPr>
        <w:t xml:space="preserve">Las redes quedan documentadas con sus cálculos completos (PASO, PAST y HT en el PDM; IT/FT/LT/LF en el ADM), de modo que pueden reutilizarse para actualizar el plan si cambian alcance, duraciones o dependencias.</w:t>
      </w:r>
    </w:p>
    <w:p>
      <w:pPr>
        <w:pStyle w:val="Heading1"/>
        <w:spacing w:after="160" w:before="240"/>
      </w:pPr>
      <w:r>
        <w:t xml:space="preserve">Anexo A. Glosario de términos</w:t>
      </w:r>
    </w:p>
    <w:tbl>
      <w:tblPr>
        <w:tblW w:type="dxa" w:w="9638"/>
        <w:tblBorders>
          <w:top w:val="single" w:color="9E9E9E" w:sz="4"/>
          <w:left w:val="single" w:color="9E9E9E" w:sz="4"/>
          <w:bottom w:val="single" w:color="9E9E9E" w:sz="4"/>
          <w:right w:val="single" w:color="9E9E9E" w:sz="4"/>
          <w:insideH w:val="single" w:color="9E9E9E" w:sz="4"/>
          <w:insideV w:val="single" w:color="9E9E9E" w:sz="4"/>
        </w:tblBorders>
        <w:tblLayout w:type="fixed"/>
      </w:tblPr>
      <w:tblGrid>
        <w:gridCol w:w="2600"/>
        <w:gridCol w:w="7038"/>
      </w:tblGrid>
      <w:tr>
        <w:trPr>
          <w:tblHeader/>
        </w:trPr>
        <w:tc>
          <w:tcPr>
            <w:tcW w:type="dxa" w:w="2600"/>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Término</w:t>
            </w:r>
          </w:p>
        </w:tc>
        <w:tc>
          <w:tcPr>
            <w:tcW w:type="dxa" w:w="7038"/>
            <w:shd w:fill="D9E2F3" w:color="auto" w:val="clear"/>
            <w:tcMar>
              <w:top w:type="dxa" w:w="30"/>
              <w:left w:type="dxa" w:w="70"/>
              <w:bottom w:type="dxa" w:w="30"/>
              <w:right w:type="dxa" w:w="70"/>
            </w:tcMar>
            <w:vAlign w:val="center"/>
          </w:tcPr>
          <w:p>
            <w:pPr>
              <w:spacing w:after="0"/>
              <w:jc w:val="center"/>
            </w:pPr>
            <w:r>
              <w:rPr>
                <w:b/>
                <w:bCs/>
                <w:i w:val="false"/>
                <w:iCs w:val="false"/>
                <w:sz w:val="16"/>
                <w:szCs w:val="16"/>
              </w:rPr>
              <w:t xml:space="preserve">Definición</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PDM (método de precedencias)</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Red en la que las actividades se representan como nodos (cajas) y las dependencias como flechas.</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ADM (método de flechas)</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Red en la que las actividades se representan como flechas y los eventos como nodos circulares sin duración.</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PASO (pasada hacia adelante)</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Cálculo de los tiempos tempranos, del inicio al fin de la red: ES = máx(EF de las predecesoras) y EF = ES + d. En los nodos del PDM aparece como «PASO: ES → EF».</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ES / EF</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Inicio temprano / fin temprano: momento más temprano en que la actividad puede empezar / terminar.</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PAST (pasada hacia atrás)</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Cálculo de los tiempos tardíos, del fin al inicio de la red: LF = mín(LS de las sucesoras) y LS = LF − d. En los nodos del PDM aparece como «PAST: LS → LF».</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LS (inicio tardío)</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Inicio tardío: momento más tardío en que puede empezar sin retrasar el proyecto. LS = LF − d.</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LF (fin tardío)</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Fin tardío: mínimo de los LS de las sucesoras.</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HT (holgura total)</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HT = LS − ES = LF − EF. Tiempo disponible de retraso sin afectar a la duración total.</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Ruta crítica</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Secuencia de actividades con HT = 0 desde el inicio hasta el fin; su duración es la duración del proyecto.</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TE (tiempo temprano de evento)</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ADM: momento más temprano en que puede ocurrir un evento. TE(j) = máx[TE(i) + d(i→j)].</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TL (tiempo tardío de evento)</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ADM: momento más tardío en que puede ocurrir un evento sin retrasar el proyecto. TL(i) = mín[TL(j) − d(i→j)].</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IT / FT (ADM)</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Inicio temprano (IT = TE del evento i) y fin temprano (FT = IT + d) de la actividad.</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LT / LF (ADM)</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Inicio tardío (LT = TL del evento i) y fin tardío (LF = LT + d) de la actividad.</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Actividad ficticia (dummy)</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Flecha de duración 0 que solo expresa una relación de dependencia entre eventos.</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Evento de unión</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Evento compartido por dos partes de un diagrama dividido; en este documento: 9, 11, 12 (partes 1 y 2) y 16 (partes 2 y 3).</w:t>
            </w:r>
          </w:p>
        </w:tc>
      </w:tr>
      <w:tr>
        <w:tc>
          <w:tcPr>
            <w:tcW w:type="dxa" w:w="2600"/>
            <w:shd w:fill="F2F2F2" w:color="auto" w:val="clear"/>
            <w:tcMar>
              <w:top w:type="dxa" w:w="30"/>
              <w:left w:type="dxa" w:w="70"/>
              <w:bottom w:type="dxa" w:w="30"/>
              <w:right w:type="dxa" w:w="70"/>
            </w:tcMar>
            <w:vAlign w:val="center"/>
          </w:tcPr>
          <w:p>
            <w:pPr>
              <w:spacing w:after="0"/>
              <w:jc w:val="left"/>
            </w:pPr>
            <w:r>
              <w:rPr>
                <w:b/>
                <w:bCs/>
                <w:i w:val="false"/>
                <w:iCs w:val="false"/>
                <w:sz w:val="15"/>
                <w:szCs w:val="15"/>
              </w:rPr>
              <w:t xml:space="preserve">Duración total</w:t>
            </w:r>
          </w:p>
        </w:tc>
        <w:tc>
          <w:tcPr>
            <w:tcW w:type="dxa" w:w="7038"/>
            <w:tcMar>
              <w:top w:type="dxa" w:w="30"/>
              <w:left w:type="dxa" w:w="70"/>
              <w:bottom w:type="dxa" w:w="30"/>
              <w:right w:type="dxa" w:w="70"/>
            </w:tcMar>
            <w:vAlign w:val="center"/>
          </w:tcPr>
          <w:p>
            <w:pPr>
              <w:spacing w:after="0"/>
              <w:jc w:val="left"/>
            </w:pPr>
            <w:r>
              <w:rPr>
                <w:b w:val="false"/>
                <w:bCs w:val="false"/>
                <w:i w:val="false"/>
                <w:iCs w:val="false"/>
                <w:sz w:val="15"/>
                <w:szCs w:val="15"/>
              </w:rPr>
              <w:t xml:space="preserve">Suma de duraciones de la ruta crítica = 91 días hábiles.</w:t>
            </w:r>
          </w:p>
        </w:tc>
      </w:tr>
    </w:tbl>
    <w:p>
      <w:pPr>
        <w:spacing w:after="0" w:before="200"/>
      </w:pPr>
      <w:r>
        <w:rPr>
          <w:b w:val="false"/>
          <w:bCs w:val="false"/>
          <w:i w:val="false"/>
          <w:iCs w:val="false"/>
          <w:sz w:val="22"/>
          <w:szCs w:val="22"/>
        </w:rPr>
        <w:t xml:space="preserve">Nota: este documento ha sido generado a partir de los cálculos CPM contenidos en red.json (script generar_red.js), de modo que todos los valores de tablas y figuras son coherentes entre sí y verificables.</w:t>
      </w:r>
    </w:p>
    <w:sectPr>
      <w:footerReference w:type="default" r:id="rId12"/>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Documentación 3 · PDM y ADM · NutriLnk —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Documentación 3 · PDM y ADM · NutriLnk —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Documentación 3 · PDM y ADM · NutriLnk — </w:t>
    </w:r>
    <w:r>
      <w:rPr>
        <w:color w:val="8080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Documentación 3 · PDM y ADM · NutriLnk — </w:t>
    </w:r>
    <w:r>
      <w:rPr>
        <w:color w:val="8080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Documentación 3 · PDM y ADM · NutriLnk — </w:t>
    </w:r>
    <w:r>
      <w:rPr>
        <w:color w:val="808080"/>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Documentación 3 · PDM y ADM · NutriLnk — </w:t>
    </w:r>
    <w:r>
      <w:rPr>
        <w:color w:val="808080"/>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Documentación 3 · PDM y ADM · NutriLnk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theme" Target="theme/theme1.xml"/><Relationship Id="rId14" Type="http://schemas.openxmlformats.org/officeDocument/2006/relationships/image" Target="media/ce31f75486509bea52df90f171909d2e8f092270.png"/><Relationship Id="rId15" Type="http://schemas.openxmlformats.org/officeDocument/2006/relationships/image" Target="media/61930ad6c62779d48d5749d326d489dc12ef6712.png"/><Relationship Id="rId16" Type="http://schemas.openxmlformats.org/officeDocument/2006/relationships/image" Target="media/574324d83edafc21e2fe9d0d8e6d292574594032.png"/><Relationship Id="rId17" Type="http://schemas.openxmlformats.org/officeDocument/2006/relationships/image" Target="media/2f855aeacbd8316e5ace1df52fe80a890c0a7212.png"/><Relationship Id="rId18" Type="http://schemas.openxmlformats.org/officeDocument/2006/relationships/image" Target="media/b57c676871a0206df545a1a4f971637d8072f846.png"/><Relationship Id="rId19" Type="http://schemas.openxmlformats.org/officeDocument/2006/relationships/image" Target="media/a8c1a658aca40fcfccf014abc977fa2bace2341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3 — PDM y ADM — NutriLnk</dc:title>
  <dc:creator>Proyecto NutriLnk</dc:creator>
  <dc:description>Diagramas PDM y ADM del ciclo de vida completo del proyecto NutriLnk</dc:description>
  <cp:lastModifiedBy>Un-named</cp:lastModifiedBy>
  <cp:revision>1</cp:revision>
  <dcterms:created xsi:type="dcterms:W3CDTF">2026-10-07T04:12:38.471Z</dcterms:created>
  <dcterms:modified xsi:type="dcterms:W3CDTF">2026-10-07T04:12:38.472Z</dcterms:modified>
</cp:coreProperties>
</file>

<file path=docProps/custom.xml><?xml version="1.0" encoding="utf-8"?>
<Properties xmlns="http://schemas.openxmlformats.org/officeDocument/2006/custom-properties" xmlns:vt="http://schemas.openxmlformats.org/officeDocument/2006/docPropsVTypes"/>
</file>