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8"/>
          <w:szCs w:val="28"/>
        </w:rPr>
      </w:pPr>
      <w:r w:rsidDel="00000000" w:rsidR="00000000" w:rsidRPr="00000000">
        <w:rPr>
          <w:rFonts w:ascii="Lucida Sans" w:cs="Lucida Sans" w:eastAsia="Lucida Sans" w:hAnsi="Lucida Sans"/>
          <w:b w:val="1"/>
          <w:sz w:val="28"/>
          <w:szCs w:val="28"/>
          <w:rtl w:val="0"/>
        </w:rPr>
        <w:t xml:space="preserve">“AÑO DE LA RECUPERACIÓN Y CONSOLIDACIÓN DE LA ECONOMÍA PERUANA”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1932263</wp:posOffset>
            </wp:positionH>
            <wp:positionV relativeFrom="paragraph">
              <wp:posOffset>544033</wp:posOffset>
            </wp:positionV>
            <wp:extent cx="1895475" cy="1376342"/>
            <wp:effectExtent b="0" l="0" r="0" t="0"/>
            <wp:wrapNone/>
            <wp:docPr descr="Profile for Universidad Continental" id="1" name="image4.png"/>
            <a:graphic>
              <a:graphicData uri="http://schemas.openxmlformats.org/drawingml/2006/picture">
                <pic:pic>
                  <pic:nvPicPr>
                    <pic:cNvPr descr="Profile for Universidad Continental" id="0" name="image4.png"/>
                    <pic:cNvPicPr preferRelativeResize="0"/>
                  </pic:nvPicPr>
                  <pic:blipFill>
                    <a:blip r:embed="rId6"/>
                    <a:srcRect b="24455" l="14851" r="15804" t="2503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763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665"/>
        </w:tabs>
        <w:spacing w:after="160" w:line="259" w:lineRule="auto"/>
        <w:jc w:val="center"/>
        <w:rPr>
          <w:rFonts w:ascii="Lucida Sans" w:cs="Lucida Sans" w:eastAsia="Lucida Sans" w:hAnsi="Lucida Sans"/>
          <w:b w:val="1"/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"/>
          <w:szCs w:val="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Sistema digital de denuncias de tala ilegal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6.8" w:lineRule="auto"/>
        <w:jc w:val="cente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Asignatura:</w:t>
      </w:r>
    </w:p>
    <w:p w:rsidR="00000000" w:rsidDel="00000000" w:rsidP="00000000" w:rsidRDefault="00000000" w:rsidRPr="00000000" w14:paraId="00000011">
      <w:pPr>
        <w:spacing w:after="220"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Diseño y Análisis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NRC: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20"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62152</w:t>
      </w:r>
    </w:p>
    <w:p w:rsidR="00000000" w:rsidDel="00000000" w:rsidP="00000000" w:rsidRDefault="00000000" w:rsidRPr="00000000" w14:paraId="00000014">
      <w:pPr>
        <w:spacing w:line="256.8" w:lineRule="auto"/>
        <w:jc w:val="cente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Docente:</w:t>
      </w:r>
    </w:p>
    <w:p w:rsidR="00000000" w:rsidDel="00000000" w:rsidP="00000000" w:rsidRDefault="00000000" w:rsidRPr="00000000" w14:paraId="00000015">
      <w:pPr>
        <w:spacing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Osorio Contreras, Rosario Delia</w:t>
      </w:r>
    </w:p>
    <w:p w:rsidR="00000000" w:rsidDel="00000000" w:rsidP="00000000" w:rsidRDefault="00000000" w:rsidRPr="00000000" w14:paraId="00000016">
      <w:pPr>
        <w:spacing w:line="256.8" w:lineRule="auto"/>
        <w:jc w:val="cente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Ciclo: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56.8" w:lineRule="auto"/>
        <w:jc w:val="center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4to</w:t>
      </w:r>
    </w:p>
    <w:p w:rsidR="00000000" w:rsidDel="00000000" w:rsidP="00000000" w:rsidRDefault="00000000" w:rsidRPr="00000000" w14:paraId="00000019">
      <w:pPr>
        <w:spacing w:after="200" w:line="256.8" w:lineRule="auto"/>
        <w:ind w:left="2125.9842519685035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40" w:line="256.8" w:lineRule="auto"/>
        <w:ind w:left="-20" w:firstLine="0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Integrantes: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00" w:line="256.8" w:lineRule="auto"/>
        <w:ind w:left="1417.3228346456694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●  </w:t>
        <w:tab/>
        <w:t xml:space="preserve">LIMACHE CUNYAS, NOEMI CIELO</w:t>
      </w:r>
    </w:p>
    <w:p w:rsidR="00000000" w:rsidDel="00000000" w:rsidP="00000000" w:rsidRDefault="00000000" w:rsidRPr="00000000" w14:paraId="0000001C">
      <w:pPr>
        <w:spacing w:after="200" w:line="256.8" w:lineRule="auto"/>
        <w:ind w:left="1417.3228346456694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●  </w:t>
        <w:tab/>
        <w:t xml:space="preserve">CAYTANO MURILLO, MARY ISABEL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56.8" w:lineRule="auto"/>
        <w:ind w:left="1417.3228346456694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●  </w:t>
        <w:tab/>
        <w:t xml:space="preserve">YUPANQUI SUAREZ, JESUS ANGEL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00" w:line="256.8" w:lineRule="auto"/>
        <w:ind w:left="2125.9842519685035" w:hanging="708.6614173228344"/>
        <w:rPr>
          <w:sz w:val="22"/>
          <w:szCs w:val="22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CABRERA ORTEGA, DHASTIN RAY</w:t>
      </w:r>
    </w:p>
    <w:p w:rsidR="00000000" w:rsidDel="00000000" w:rsidP="00000000" w:rsidRDefault="00000000" w:rsidRPr="00000000" w14:paraId="0000001F">
      <w:pPr>
        <w:spacing w:after="200" w:line="256.8" w:lineRule="auto"/>
        <w:rPr>
          <w:sz w:val="10"/>
          <w:szCs w:val="1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80" w:line="256.8" w:lineRule="auto"/>
        <w:rPr>
          <w:sz w:val="10"/>
          <w:szCs w:val="1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Huancayo</w:t>
      </w:r>
    </w:p>
    <w:p w:rsidR="00000000" w:rsidDel="00000000" w:rsidP="00000000" w:rsidRDefault="00000000" w:rsidRPr="00000000" w14:paraId="00000022">
      <w:pPr>
        <w:jc w:val="center"/>
        <w:rPr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2025-20  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480" w:line="276" w:lineRule="auto"/>
        <w:rPr>
          <w:rFonts w:ascii="Calibri" w:cs="Calibri" w:eastAsia="Calibri" w:hAnsi="Calibri"/>
          <w:b w:val="1"/>
          <w:sz w:val="46"/>
          <w:szCs w:val="46"/>
        </w:rPr>
      </w:pPr>
      <w:bookmarkStart w:colFirst="0" w:colLast="0" w:name="_k4rljugwjky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480" w:line="276" w:lineRule="auto"/>
        <w:rPr>
          <w:rFonts w:ascii="Calibri" w:cs="Calibri" w:eastAsia="Calibri" w:hAnsi="Calibri"/>
          <w:b w:val="1"/>
          <w:sz w:val="56"/>
          <w:szCs w:val="56"/>
        </w:rPr>
      </w:pPr>
      <w:bookmarkStart w:colFirst="0" w:colLast="0" w:name="_mhg0aw9r2vbz" w:id="1"/>
      <w:bookmarkEnd w:id="1"/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Índice</w:t>
      </w:r>
    </w:p>
    <w:p w:rsidR="00000000" w:rsidDel="00000000" w:rsidP="00000000" w:rsidRDefault="00000000" w:rsidRPr="00000000" w14:paraId="00000027">
      <w:pPr>
        <w:spacing w:after="240" w:before="24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Portada ............................................................. p. 1</w:t>
        <w:br w:type="textWrapping"/>
        <w:t xml:space="preserve"> Índice general .................................................... p. 2</w:t>
        <w:br w:type="textWrapping"/>
        <w:t xml:space="preserve"> Índice de figuras ................................................ p. 3</w:t>
        <w:br w:type="textWrapping"/>
        <w:t xml:space="preserve"> Índice de tablas .................................................. p. 4</w:t>
      </w:r>
    </w:p>
    <w:p w:rsidR="00000000" w:rsidDel="00000000" w:rsidP="00000000" w:rsidRDefault="00000000" w:rsidRPr="00000000" w14:paraId="00000028">
      <w:pPr>
        <w:spacing w:after="240" w:before="24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I – Fundamentos y Modelado Inicial (Semanas 1–4)</w:t>
        <w:br w:type="textWrapping"/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Capítulo 1. Presentación del Proyecto ............................ p. 5</w:t>
        <w:br w:type="textWrapping"/>
        <w:t xml:space="preserve"> Capítulo 2. Análisis de Necesidades y Requerimientos .......... p. 7</w:t>
        <w:br w:type="textWrapping"/>
        <w:t xml:space="preserve"> Capítulo 3. Modelos Iniciales del Sistema ........................ p. 10</w:t>
      </w:r>
    </w:p>
    <w:p w:rsidR="00000000" w:rsidDel="00000000" w:rsidP="00000000" w:rsidRDefault="00000000" w:rsidRPr="00000000" w14:paraId="00000029">
      <w:pPr>
        <w:spacing w:after="240" w:before="24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II – Modelos de Diseño y Metodología Ágil (Semanas 5–7)</w:t>
        <w:br w:type="textWrapping"/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Capítulo 4. Modelos de Diseño ..................................... p. 14</w:t>
        <w:br w:type="textWrapping"/>
        <w:t xml:space="preserve"> Capítulo 5. Metodología de Trabajo (SCRUM) ...................... p. 17</w:t>
      </w:r>
    </w:p>
    <w:p w:rsidR="00000000" w:rsidDel="00000000" w:rsidP="00000000" w:rsidRDefault="00000000" w:rsidRPr="00000000" w14:paraId="0000002A">
      <w:pPr>
        <w:spacing w:after="240" w:before="240" w:line="276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Conclusiones y Recomendaciones ................................ p. 20</w:t>
        <w:br w:type="textWrapping"/>
        <w:t xml:space="preserve"> Referencias bibliográficas ....................................... p. 21</w:t>
        <w:br w:type="textWrapping"/>
        <w:t xml:space="preserve"> Anexos .............................................................. p. 22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0" w:before="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Unidad I – Fundamentos y Modelado Inicial (Semanas 1–4)</w:t>
      </w:r>
    </w:p>
    <w:p w:rsidR="00000000" w:rsidDel="00000000" w:rsidP="00000000" w:rsidRDefault="00000000" w:rsidRPr="00000000" w14:paraId="00000043">
      <w:pPr>
        <w:pStyle w:val="Heading2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Capítulo 1. Presentación del Proyecto</w:t>
      </w:r>
    </w:p>
    <w:p w:rsidR="00000000" w:rsidDel="00000000" w:rsidP="00000000" w:rsidRDefault="00000000" w:rsidRPr="00000000" w14:paraId="00000044">
      <w:pPr>
        <w:spacing w:after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ODS vinculado: 1 Explicar</w:t>
      </w:r>
    </w:p>
    <w:p w:rsidR="00000000" w:rsidDel="00000000" w:rsidP="00000000" w:rsidRDefault="00000000" w:rsidRPr="00000000" w14:paraId="00000045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ODS 15 – Vida de Ecosistemas Terrestres.</w:t>
      </w:r>
    </w:p>
    <w:p w:rsidR="00000000" w:rsidDel="00000000" w:rsidP="00000000" w:rsidRDefault="00000000" w:rsidRPr="00000000" w14:paraId="00000046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Este objetivo busca proteger, restablecer y promover el uso sostenible de los ecosistemas terrestres, gestionar de manera sostenible los bosques, luchar contra la desertificación, detener e invertir la degradación de las tierras y frenar la pérdida de biodiversidad.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after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Organización o institución beneficiaria:  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SERFOR (Servicio Nacional Forestal y de Fauna Silvestre)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SERNANP (Servicio Nacional de Áreas Naturales Protegidas)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ONGs ambientales (como WWF, Conservación Internacional, etc.)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20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Municipalidades locales con jurisdicción forestal Ciudadanía organizada en comités ambientales y rondas campesinas</w:t>
      </w:r>
    </w:p>
    <w:p w:rsidR="00000000" w:rsidDel="00000000" w:rsidP="00000000" w:rsidRDefault="00000000" w:rsidRPr="00000000" w14:paraId="0000004C">
      <w:pPr>
        <w:spacing w:after="200" w:line="276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Problema identificado: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La tala ilegal de bosques en el Perú representa una de las principales amenazas para la biodiversidad y la sostenibilidad ambiental. Actualmente, los mecanismos de denuncia son limitados, poco accesibles para las comunidades rurales y no permiten un seguimiento efectivo de los casos. Esto genera impunidad, pérdida de recursos forestales, conflictos sociales y un grave impacto en los ecosistemas terrestres.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Solución propuesta: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Se plantea el desarrollo de un </w:t>
      </w:r>
      <w:r w:rsidDel="00000000" w:rsidR="00000000" w:rsidRPr="00000000">
        <w:rPr>
          <w:b w:val="1"/>
          <w:sz w:val="20"/>
          <w:szCs w:val="20"/>
          <w:rtl w:val="0"/>
        </w:rPr>
        <w:t xml:space="preserve">Sistema Digital de Denuncias de Tala Ilegal</w:t>
      </w:r>
      <w:r w:rsidDel="00000000" w:rsidR="00000000" w:rsidRPr="00000000">
        <w:rPr>
          <w:sz w:val="20"/>
          <w:szCs w:val="20"/>
          <w:rtl w:val="0"/>
        </w:rPr>
        <w:t xml:space="preserve">, accesible vía </w:t>
      </w:r>
      <w:r w:rsidDel="00000000" w:rsidR="00000000" w:rsidRPr="00000000">
        <w:rPr>
          <w:b w:val="1"/>
          <w:sz w:val="20"/>
          <w:szCs w:val="20"/>
          <w:rtl w:val="0"/>
        </w:rPr>
        <w:t xml:space="preserve">web y aplicación móvil</w:t>
      </w:r>
      <w:r w:rsidDel="00000000" w:rsidR="00000000" w:rsidRPr="00000000">
        <w:rPr>
          <w:sz w:val="20"/>
          <w:szCs w:val="20"/>
          <w:rtl w:val="0"/>
        </w:rPr>
        <w:t xml:space="preserve">, que permita a cualquier ciudadano, organización o autoridad local </w:t>
      </w:r>
      <w:r w:rsidDel="00000000" w:rsidR="00000000" w:rsidRPr="00000000">
        <w:rPr>
          <w:b w:val="1"/>
          <w:sz w:val="20"/>
          <w:szCs w:val="20"/>
          <w:rtl w:val="0"/>
        </w:rPr>
        <w:t xml:space="preserve">registrar, monitorear y dar seguimiento a denuncias ambientales en tiempo real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0">
      <w:pPr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sistema contará con: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Registro ciudadano simple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(con opción anónima para proteger al denunciante).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Georreferenciación de la denuncia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mediante GPS o mapas interactivos.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Carga de evidencias digitales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(fotos, videos, documentos).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Canales de atención diferenciados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SERFOR, SERNANP, ONGs y municipalidades.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Panel de control institucional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con métricas de denuncias por región, estado de investigación y tiempo de resolución.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Alertas automáticas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las autoridades competentes.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Integración con correo y mensajería instantánea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notificaciones de avance.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Reportes públicos agregados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que permitan a la ciudadanía conocer el impacto y el nivel de respuesta.</w:t>
        <w:br w:type="textWrapping"/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Este sistema contribuirá a: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Fortalecer la participación ciudadana.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Mejorar la capacidad de respuesta de SERFOR, SERNANP y municipalidades.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Incrementar la transparencia en la gestión forestal.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Reducir los índices de tala ilegal en zonas críticas del país.</w:t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Capítulo 2. Análisis de Necesidades y Requerimientos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Descripción del problema: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00" w:line="276" w:lineRule="auto"/>
        <w:rPr>
          <w:sz w:val="20"/>
          <w:szCs w:val="20"/>
        </w:rPr>
      </w:pPr>
      <w:r w:rsidDel="00000000" w:rsidR="00000000" w:rsidRPr="00000000">
        <w:rPr>
          <w:color w:val="101010"/>
          <w:rtl w:val="0"/>
        </w:rPr>
        <w:t xml:space="preserve">Hoy por hoy, reportar irregularidades implica papeleo y procesos engorrosos, sobre todo si vives lejos.</w:t>
      </w:r>
      <w:r w:rsidDel="00000000" w:rsidR="00000000" w:rsidRPr="00000000">
        <w:rPr>
          <w:color w:val="101010"/>
          <w:highlight w:val="white"/>
          <w:rtl w:val="0"/>
        </w:rPr>
        <w:t xml:space="preserve"> </w:t>
      </w:r>
      <w:r w:rsidDel="00000000" w:rsidR="00000000" w:rsidRPr="00000000">
        <w:rPr>
          <w:color w:val="101010"/>
          <w:rtl w:val="0"/>
        </w:rPr>
        <w:t xml:space="preserve">La deforestación rampante sigue su curso, mientras que las autoridades se enteran tarde, mal y nunca de lo que está pasando.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Necesidades de los usuarios: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after="0" w:after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color w:val="101010"/>
          <w:highlight w:val="white"/>
          <w:rtl w:val="0"/>
        </w:rPr>
        <w:t xml:space="preserve">La gente necesita una vía fácil, ágil y segura para poder hacer sus denuncias.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line="276" w:lineRule="auto"/>
        <w:ind w:left="720" w:hanging="360"/>
        <w:rPr>
          <w:color w:val="101010"/>
          <w:highlight w:val="white"/>
        </w:rPr>
      </w:pPr>
      <w:r w:rsidDel="00000000" w:rsidR="00000000" w:rsidRPr="00000000">
        <w:rPr>
          <w:color w:val="101010"/>
          <w:highlight w:val="white"/>
          <w:rtl w:val="0"/>
        </w:rPr>
        <w:t xml:space="preserve">Las ONGs necesitan información para preparar informes sobre el efecto en el medio ambiente.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200" w:line="276" w:lineRule="auto"/>
        <w:ind w:left="720" w:hanging="360"/>
        <w:rPr>
          <w:color w:val="101010"/>
          <w:highlight w:val="white"/>
        </w:rPr>
      </w:pPr>
      <w:r w:rsidDel="00000000" w:rsidR="00000000" w:rsidRPr="00000000">
        <w:rPr>
          <w:color w:val="101010"/>
          <w:highlight w:val="white"/>
          <w:rtl w:val="0"/>
        </w:rPr>
        <w:t xml:space="preserve">Las entidades precisan informes bien organizados, ubicados exactamente y con pruebas claras.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Requerimientos funcionales (RF):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RF1: Registro de denuncias con formulario digital.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RF2: Adjuntar evidencias (fotos, videos, documentos).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RF3: Geolocalización automática con GPS.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RF4: Panel de control para autoridades.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RF5: Consulta de estado de denuncias.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Requerimientos no funcionales (RNF):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RNF1</w:t>
      </w:r>
      <w:r w:rsidDel="00000000" w:rsidR="00000000" w:rsidRPr="00000000">
        <w:rPr>
          <w:rtl w:val="0"/>
        </w:rPr>
        <w:t xml:space="preserve">: El sistema debe ser accesible 24/7.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RNF2: Interfaz intuitiva y multilingüe (español y lenguas originarias).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RNF3</w:t>
      </w:r>
      <w:r w:rsidDel="00000000" w:rsidR="00000000" w:rsidRPr="00000000">
        <w:rPr>
          <w:rtl w:val="0"/>
        </w:rPr>
        <w:t xml:space="preserve">: Seguridad en el manejo de datos (cifrado).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0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RNF4: Escalabilidad para manejar miles de denuncias simultáneas.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Requerimientos de dominio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Integración con plataformas de SERFOR y SERNANP.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0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Cumplimiento de normativa de protección de datos personales en el Perú (Ley N.º 29733).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Capítulo 3. Modelos Iniciales del Sistema</w:t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Modelo funcional (diagrama de contexto, casos de uso generales):</w:t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Modelo de procesos 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Diagrama de actividad UML</w:t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Modelo de datos (Modelo E-R)</w:t>
      </w:r>
    </w:p>
    <w:p w:rsidR="00000000" w:rsidDel="00000000" w:rsidP="00000000" w:rsidRDefault="00000000" w:rsidRPr="00000000" w14:paraId="0000007B">
      <w:pPr>
        <w:pStyle w:val="Heading1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Unidad II – Modelos de Diseño y Metodología Ágil (Semanas 5–7)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0" w:before="0" w:line="276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Capítulo 4. Modelos de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El diseño del sistema propuesto se basa en una arquitectura cliente-servidor con acceso mediante aplicación móvil y plataforma web. Este diseño garantiza la escalabilidad, seguridad y disponibilidad necesarias para soportar un alto volumen de denuncias.</w:t>
      </w:r>
    </w:p>
    <w:p w:rsidR="00000000" w:rsidDel="00000000" w:rsidP="00000000" w:rsidRDefault="00000000" w:rsidRPr="00000000" w14:paraId="0000007E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4.1 Arquitectura del Sistema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La arquitectura sigue un modelo multicapa donde los usuarios acceden desde dispositivos móviles o navegadores web, la información se procesa en un servidor central y se almacena en una base de datos segura. Se empleará una API REST para la comunicación entre clientes e instituciones.</w:t>
      </w:r>
    </w:p>
    <w:p w:rsidR="00000000" w:rsidDel="00000000" w:rsidP="00000000" w:rsidRDefault="00000000" w:rsidRPr="00000000" w14:paraId="00000080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4.2 Interfaces de Usuario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Las interfaces estarán diseñadas con criterios de usabilidad e incluirán: pantalla de registro, formulario de denuncia, mapa interactivo, seguimiento de denuncias y panel de administración para instituciones.</w:t>
      </w:r>
    </w:p>
    <w:p w:rsidR="00000000" w:rsidDel="00000000" w:rsidP="00000000" w:rsidRDefault="00000000" w:rsidRPr="00000000" w14:paraId="00000082">
      <w:pPr>
        <w:rPr>
          <w:b w:val="1"/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4.3 Diseño de la Base de Datos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La base de datos relacional permitirá almacenar usuarios, denuncias, evidencias, instituciones y reportes. Se emplearán estándares de georreferenciación (WGS84) para ubicar los incidentes en mapas digitales.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4.4 Diagramas UML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4.4.1 Diagrama de Clases (inicial)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173450</wp:posOffset>
            </wp:positionV>
            <wp:extent cx="4824413" cy="211455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7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4.4.2 Diagrama de Secuencia (Proceso de registrar denuncia)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262937</wp:posOffset>
            </wp:positionV>
            <wp:extent cx="5731200" cy="3657600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4.4.3 Diagrama de Componentes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185585</wp:posOffset>
            </wp:positionV>
            <wp:extent cx="5731200" cy="2578100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Capítulo 5. Metodología de Trabajo (SCRUM)</w:t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Definición de la metodología ágil usada:</w:t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 aplicará Scrum, con roles: Product Owner (docente), Scrum Master (integrante designado) y equipo de desarrollo (estudiantes)</w:t>
      </w:r>
    </w:p>
    <w:p w:rsidR="00000000" w:rsidDel="00000000" w:rsidP="00000000" w:rsidRDefault="00000000" w:rsidRPr="00000000" w14:paraId="000000BF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Backlog del producto (épicas e historias de usuario):</w:t>
      </w:r>
    </w:p>
    <w:p w:rsidR="00000000" w:rsidDel="00000000" w:rsidP="00000000" w:rsidRDefault="00000000" w:rsidRPr="00000000" w14:paraId="000000C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1: Registro de denuncias.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HU1: Como ciudadano quiero registrar una denuncia para reportar tala ilegal.</w:t>
      </w:r>
    </w:p>
    <w:p w:rsidR="00000000" w:rsidDel="00000000" w:rsidP="00000000" w:rsidRDefault="00000000" w:rsidRPr="00000000" w14:paraId="000000C2">
      <w:pPr>
        <w:numPr>
          <w:ilvl w:val="0"/>
          <w:numId w:val="14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HU2: Como usuario quiero adjuntar fotos para sustentar mi denuncia.</w:t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Épica 2: Panel de gestión para autoridades.</w:t>
      </w:r>
    </w:p>
    <w:p w:rsidR="00000000" w:rsidDel="00000000" w:rsidP="00000000" w:rsidRDefault="00000000" w:rsidRPr="00000000" w14:paraId="000000C4">
      <w:pPr>
        <w:numPr>
          <w:ilvl w:val="0"/>
          <w:numId w:val="12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HU3: Como autoridad quiero ver las denuncias en un mapa para priorizar acciones.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Planificación de sprints (Sprint 1 y Sprint 2):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Sprint 1: Diseño de formularios y BD.</w:t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Sprint 2: Implementación de geolocalización y panel de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Herramientas utilizadas (Jira, Draw.io, Dbdiagram.io, etc.):</w:t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0" w:before="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Conclusiones y Recomendaciones</w:t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Conclusiones del equipo:</w:t>
      </w:r>
    </w:p>
    <w:p w:rsidR="00000000" w:rsidDel="00000000" w:rsidP="00000000" w:rsidRDefault="00000000" w:rsidRPr="00000000" w14:paraId="000000CC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Valor del enfoque tecnológico: La implementación de un sistema digital para denuncias de tala ilegal demuestra ser una solución viable y necesaria para modernizar la gestión ambiental en el Perú, facilitando la participación ciudadana y mejorando la capacidad de respuesta de las instituciones.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Alineación con ODS y políticas públicas: El proyecto se alinea directamente con el Objetivo de Desarrollo Sostenible 15, contribuyendo a la protección de los ecosistemas terrestres y al fortalecimiento de la gobernanza forestal.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Metodología ágil como ventaja: El uso de SCRUM permitió una planificación flexible, una entrega incremental de funcionalidades y una adaptación constante a los requerimientos identificados, lo que resultó en un diseño más robusto y centrado en el usuario.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Importancia de la usabilidad y accesibilidad: Se evidenció la necesidad de diseñar interfaces intuitivas y accesibles, especialmente para comunidades rurales y en contextos multilingües, garantizando que el sistema sea inclusivo.</w:t>
      </w:r>
    </w:p>
    <w:p w:rsidR="00000000" w:rsidDel="00000000" w:rsidP="00000000" w:rsidRDefault="00000000" w:rsidRPr="00000000" w14:paraId="000000D0">
      <w:pPr>
        <w:numPr>
          <w:ilvl w:val="0"/>
          <w:numId w:val="13"/>
        </w:numPr>
        <w:spacing w:after="20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Integración institucional como clave: La interoperabilidad con sistemas de SERFOR, SERNANP y municipalidades es esencial para garantizar la utilidad real del sistema y su adopción por parte de las autoridades competentes.</w:t>
      </w:r>
    </w:p>
    <w:p w:rsidR="00000000" w:rsidDel="00000000" w:rsidP="00000000" w:rsidRDefault="00000000" w:rsidRPr="00000000" w14:paraId="000000D1">
      <w:pPr>
        <w:spacing w:after="20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="276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Lecciones aprendidas: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definición clara de roles en SCRUM (Product Owner, Scrum Master, equipo de desarrollo) facilitó la organización y el cumplimiento de los objetivos en cada sprint.</w:t>
      </w:r>
    </w:p>
    <w:p w:rsidR="00000000" w:rsidDel="00000000" w:rsidP="00000000" w:rsidRDefault="00000000" w:rsidRPr="00000000" w14:paraId="000000D6">
      <w:pPr>
        <w:numPr>
          <w:ilvl w:val="0"/>
          <w:numId w:val="9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georreferenciación y el manejo de evidencias multimedia representaron desafíos técnicos que requirieron una planificación detallada y prototipado temprano.</w:t>
      </w:r>
    </w:p>
    <w:p w:rsidR="00000000" w:rsidDel="00000000" w:rsidP="00000000" w:rsidRDefault="00000000" w:rsidRPr="00000000" w14:paraId="000000D7">
      <w:pPr>
        <w:numPr>
          <w:ilvl w:val="0"/>
          <w:numId w:val="9"/>
        </w:numPr>
        <w:spacing w:after="20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 seguridad de los datos, especialmente la protección de la identidad del denunciante, es un aspecto crítico que debe integrarse desde las primeras etapas del diseño.</w:t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Recomendaciones para futuras mejoras del sistema: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Inclusión de más lenguas originarias en la interfaz, más allá del quechua y el español, para ampliar el alcance en regiones con diversidad lingüística.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Implementación de un módulo de inteligencia artificial para el análisis automático de imágenes satelitales y detección temprana de zonas con posible tala ilegal.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Desarrollo de un sistema de alertas comunitarias que permita notificar a las poblaciones cercanas sobre actividades ilegales reportadas en su área.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Integración con blockchain para garantizar la trazabilidad e inmutabilidad de las denuncias y su seguimiento.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200" w:line="276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Realización de pilotos en regiones con alta incidencia de tala ilegal para validar la usabilidad y eficacia del sistema en contextos reales.</w:t>
      </w:r>
    </w:p>
    <w:p w:rsidR="00000000" w:rsidDel="00000000" w:rsidP="00000000" w:rsidRDefault="00000000" w:rsidRPr="00000000" w14:paraId="000000D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Referencias bibliográficas</w:t>
      </w:r>
    </w:p>
    <w:p w:rsidR="00000000" w:rsidDel="00000000" w:rsidP="00000000" w:rsidRDefault="00000000" w:rsidRPr="00000000" w14:paraId="000000E1">
      <w:pPr>
        <w:spacing w:after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Naciones Unidas. (2015). </w:t>
      </w:r>
      <w:r w:rsidDel="00000000" w:rsidR="00000000" w:rsidRPr="00000000">
        <w:rPr>
          <w:b w:val="1"/>
          <w:i w:val="1"/>
          <w:rtl w:val="0"/>
        </w:rPr>
        <w:t xml:space="preserve">Objetivos de Desarrollo Sostenible (ODS)</w:t>
      </w:r>
      <w:r w:rsidDel="00000000" w:rsidR="00000000" w:rsidRPr="00000000">
        <w:rPr>
          <w:b w:val="1"/>
          <w:rtl w:val="0"/>
        </w:rPr>
        <w:t xml:space="preserve">. ONU.</w:t>
        <w:br w:type="textWrapping"/>
      </w:r>
    </w:p>
    <w:p w:rsidR="00000000" w:rsidDel="00000000" w:rsidP="00000000" w:rsidRDefault="00000000" w:rsidRPr="00000000" w14:paraId="000000E2">
      <w:pPr>
        <w:spacing w:after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SERFOR. (2023). </w:t>
      </w:r>
      <w:r w:rsidDel="00000000" w:rsidR="00000000" w:rsidRPr="00000000">
        <w:rPr>
          <w:b w:val="1"/>
          <w:i w:val="1"/>
          <w:rtl w:val="0"/>
        </w:rPr>
        <w:t xml:space="preserve">Informe de tala ilegal en el Perú</w:t>
      </w:r>
      <w:r w:rsidDel="00000000" w:rsidR="00000000" w:rsidRPr="00000000">
        <w:rPr>
          <w:b w:val="1"/>
          <w:rtl w:val="0"/>
        </w:rPr>
        <w:t xml:space="preserve">. Ministerio de Desarrollo Agrario y Riego.</w:t>
        <w:br w:type="textWrapping"/>
      </w:r>
    </w:p>
    <w:p w:rsidR="00000000" w:rsidDel="00000000" w:rsidP="00000000" w:rsidRDefault="00000000" w:rsidRPr="00000000" w14:paraId="000000E3">
      <w:pPr>
        <w:spacing w:after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Sommerville, I. (2011). </w:t>
      </w:r>
      <w:r w:rsidDel="00000000" w:rsidR="00000000" w:rsidRPr="00000000">
        <w:rPr>
          <w:b w:val="1"/>
          <w:i w:val="1"/>
          <w:rtl w:val="0"/>
        </w:rPr>
        <w:t xml:space="preserve">Ingeniería de software</w:t>
      </w:r>
      <w:r w:rsidDel="00000000" w:rsidR="00000000" w:rsidRPr="00000000">
        <w:rPr>
          <w:b w:val="1"/>
          <w:rtl w:val="0"/>
        </w:rPr>
        <w:t xml:space="preserve"> (9na ed.). Pearson.</w:t>
        <w:br w:type="textWrapping"/>
      </w:r>
    </w:p>
    <w:p w:rsidR="00000000" w:rsidDel="00000000" w:rsidP="00000000" w:rsidRDefault="00000000" w:rsidRPr="00000000" w14:paraId="000000E4">
      <w:pPr>
        <w:spacing w:after="200" w:line="276" w:lineRule="auto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Pressman, R. (2010). </w:t>
      </w:r>
      <w:r w:rsidDel="00000000" w:rsidR="00000000" w:rsidRPr="00000000">
        <w:rPr>
          <w:b w:val="1"/>
          <w:i w:val="1"/>
          <w:rtl w:val="0"/>
        </w:rPr>
        <w:t xml:space="preserve">Ingeniería del software: Un enfoque práctico</w:t>
      </w:r>
      <w:r w:rsidDel="00000000" w:rsidR="00000000" w:rsidRPr="00000000">
        <w:rPr>
          <w:b w:val="1"/>
          <w:rtl w:val="0"/>
        </w:rPr>
        <w:t xml:space="preserve">. McGraw-Hill.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0" w:before="0" w:line="276" w:lineRule="auto"/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66091"/>
          <w:sz w:val="28"/>
          <w:szCs w:val="28"/>
          <w:rtl w:val="0"/>
        </w:rPr>
        <w:t xml:space="preserve">Anexos</w:t>
      </w:r>
    </w:p>
    <w:p w:rsidR="00000000" w:rsidDel="00000000" w:rsidP="00000000" w:rsidRDefault="00000000" w:rsidRPr="00000000" w14:paraId="000000E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Evidencias gráficas (capturas de Jira, capturas de GITHUB y commits, evidencias de trabajo en equipo).</w:t>
      </w:r>
    </w:p>
    <w:p w:rsidR="00000000" w:rsidDel="00000000" w:rsidP="00000000" w:rsidRDefault="00000000" w:rsidRPr="00000000" w14:paraId="000000E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5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8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Referencias bibliográficas (ISO 690 numérico).</w:t>
      </w:r>
    </w:p>
    <w:p w:rsidR="00000000" w:rsidDel="00000000" w:rsidP="00000000" w:rsidRDefault="00000000" w:rsidRPr="00000000" w14:paraId="000000EC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Naciones Unidas,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ODS 15 Vida de Ecosistemas Terrestres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2015.</w:t>
      </w:r>
    </w:p>
    <w:p w:rsidR="00000000" w:rsidDel="00000000" w:rsidP="00000000" w:rsidRDefault="00000000" w:rsidRPr="00000000" w14:paraId="000000ED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SERFOR,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Informe de tala ilegal en el Perú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2023.</w:t>
      </w:r>
    </w:p>
    <w:p w:rsidR="00000000" w:rsidDel="00000000" w:rsidP="00000000" w:rsidRDefault="00000000" w:rsidRPr="00000000" w14:paraId="000000EE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Sommerville, I.,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Ingeniería de software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Pearson, 2011.</w:t>
      </w:r>
    </w:p>
    <w:p w:rsidR="00000000" w:rsidDel="00000000" w:rsidP="00000000" w:rsidRDefault="00000000" w:rsidRPr="00000000" w14:paraId="000000EF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Pressman, R.,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Ingeniería del software: Un enfoque práctico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McGraw-Hill, 2010.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DEL JIRA:</w:t>
        <w:br w:type="textWrapping"/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https://continental-team-mytfxmk1.atlassian.net/jira/software/projects/CIELO/boards/34/backlog?epics=visible&amp;selectedIssue=CIELO-6&amp;atlOrigin=eyJpIjoiYTM3NTkxODI3NjMzNDM1ZDgwZDY5ZjMwZDRmOTI4ODIiLCJwIjoiaiJ9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LINK DEL CANVA:</w:t>
      </w:r>
    </w:p>
    <w:p w:rsidR="00000000" w:rsidDel="00000000" w:rsidP="00000000" w:rsidRDefault="00000000" w:rsidRPr="00000000" w14:paraId="000000F3">
      <w:pPr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https://www.canva.com/design/DAG0hEjWIPA/hbER-1Lkd3gYnwBWd0jxYw/edit?utm_content=DAG0hEjWIPA&amp;utm_campaign=designshare&amp;utm_medium=link2&amp;utm_source=sharebutton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Lucida San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continental-team-mytfxmk1.atlassian.net/jira/software/projects/CIELO/boards/34/backlog?epics=visible&amp;selectedIssue=CIELO-6&amp;atlOrigin=eyJpIjoiYTM3NTkxODI3NjMzNDM1ZDgwZDY5ZjMwZDRmOTI4ODIiLCJwIjoiaiJ9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www.canva.com/design/DAG0hEjWIPA/hbER-1Lkd3gYnwBWd0jxYw/edit?utm_content=DAG0hEjWIPA&amp;utm_campaign=designshare&amp;utm_medium=link2&amp;utm_source=sharebutton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