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Default="00C6554A"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r>
        <w:rPr>
          <w:noProof/>
          <w:lang w:val="es-CL" w:eastAsia="es-CL"/>
        </w:rPr>
        <w:drawing>
          <wp:anchor distT="0" distB="0" distL="114300" distR="114300" simplePos="0" relativeHeight="251658240" behindDoc="0" locked="0" layoutInCell="1" allowOverlap="1">
            <wp:simplePos x="0" y="0"/>
            <wp:positionH relativeFrom="margin">
              <wp:align>center</wp:align>
            </wp:positionH>
            <wp:positionV relativeFrom="paragraph">
              <wp:posOffset>12065</wp:posOffset>
            </wp:positionV>
            <wp:extent cx="2143125" cy="2143125"/>
            <wp:effectExtent l="0" t="0" r="9525" b="9525"/>
            <wp:wrapNone/>
            <wp:docPr id="17" name="Imagen 17" descr="Mon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Default="00313717" w:rsidP="00C6554A">
      <w:pPr>
        <w:pStyle w:val="Foto"/>
        <w:rPr>
          <w:noProof/>
        </w:rPr>
      </w:pPr>
    </w:p>
    <w:p w:rsidR="00313717" w:rsidRPr="009679B1" w:rsidRDefault="00313717" w:rsidP="00C6554A">
      <w:pPr>
        <w:pStyle w:val="Foto"/>
        <w:rPr>
          <w:noProof/>
        </w:rPr>
      </w:pPr>
    </w:p>
    <w:p w:rsidR="00313717" w:rsidRDefault="00313717" w:rsidP="00C6554A">
      <w:pPr>
        <w:pStyle w:val="Puesto"/>
        <w:rPr>
          <w:noProof/>
        </w:rPr>
      </w:pPr>
    </w:p>
    <w:p w:rsidR="00313717" w:rsidRDefault="00313717" w:rsidP="00C6554A">
      <w:pPr>
        <w:pStyle w:val="Puesto"/>
        <w:rPr>
          <w:noProof/>
        </w:rPr>
      </w:pPr>
    </w:p>
    <w:p w:rsidR="00C6554A" w:rsidRPr="009679B1" w:rsidRDefault="00E32279" w:rsidP="00C6554A">
      <w:pPr>
        <w:pStyle w:val="Puesto"/>
        <w:rPr>
          <w:noProof/>
        </w:rPr>
      </w:pPr>
      <w:r>
        <w:rPr>
          <w:noProof/>
        </w:rPr>
        <w:t>Equivalancia de Codigos</w:t>
      </w:r>
    </w:p>
    <w:p w:rsidR="00C6554A" w:rsidRPr="009679B1" w:rsidRDefault="00C6554A" w:rsidP="00C6554A">
      <w:pPr>
        <w:pStyle w:val="Subttulo"/>
        <w:rPr>
          <w:noProof/>
        </w:rPr>
      </w:pPr>
    </w:p>
    <w:p w:rsidR="00E32279" w:rsidRDefault="00E32279" w:rsidP="00C6554A">
      <w:pPr>
        <w:pStyle w:val="Informacindecontacto"/>
        <w:rPr>
          <w:noProof/>
        </w:rPr>
      </w:pPr>
      <w:r>
        <w:rPr>
          <w:noProof/>
        </w:rPr>
        <w:t>Monarch 08/09/2023</w:t>
      </w:r>
    </w:p>
    <w:p w:rsidR="00C6554A" w:rsidRPr="009679B1" w:rsidRDefault="00E32279" w:rsidP="00C6554A">
      <w:pPr>
        <w:pStyle w:val="Informacindecontacto"/>
        <w:rPr>
          <w:noProof/>
        </w:rPr>
      </w:pPr>
      <w:r>
        <w:rPr>
          <w:noProof/>
        </w:rPr>
        <w:t>Departamento de Informatica</w:t>
      </w:r>
      <w:r w:rsidR="00C6554A" w:rsidRPr="009679B1">
        <w:rPr>
          <w:noProof/>
          <w:lang w:bidi="es-ES"/>
        </w:rPr>
        <w:br w:type="page"/>
      </w:r>
    </w:p>
    <w:sdt>
      <w:sdtPr>
        <w:rPr>
          <w:lang w:val="es-ES"/>
        </w:rPr>
        <w:id w:val="210465068"/>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rsidR="00E32279" w:rsidRDefault="00E32279">
          <w:pPr>
            <w:pStyle w:val="TtulodeTDC"/>
          </w:pPr>
          <w:r>
            <w:rPr>
              <w:lang w:val="es-ES"/>
            </w:rPr>
            <w:t>Contenido</w:t>
          </w:r>
        </w:p>
        <w:p w:rsidR="00313717" w:rsidRDefault="00E32279">
          <w:pPr>
            <w:pStyle w:val="TDC2"/>
            <w:tabs>
              <w:tab w:val="right" w:leader="dot" w:pos="8296"/>
            </w:tabs>
            <w:rPr>
              <w:rFonts w:eastAsiaTheme="minorEastAsia"/>
              <w:noProof/>
              <w:color w:val="auto"/>
              <w:lang w:val="es-CL" w:eastAsia="es-CL"/>
            </w:rPr>
          </w:pPr>
          <w:r>
            <w:rPr>
              <w:b/>
              <w:bCs/>
            </w:rPr>
            <w:fldChar w:fldCharType="begin"/>
          </w:r>
          <w:r>
            <w:rPr>
              <w:b/>
              <w:bCs/>
            </w:rPr>
            <w:instrText xml:space="preserve"> TOC \o "1-3" \h \z \u </w:instrText>
          </w:r>
          <w:r>
            <w:rPr>
              <w:b/>
              <w:bCs/>
            </w:rPr>
            <w:fldChar w:fldCharType="separate"/>
          </w:r>
          <w:hyperlink w:anchor="_Toc145077395" w:history="1">
            <w:r w:rsidR="00313717" w:rsidRPr="00320D9D">
              <w:rPr>
                <w:rStyle w:val="Hipervnculo"/>
                <w:noProof/>
              </w:rPr>
              <w:t>Introduccion</w:t>
            </w:r>
            <w:r w:rsidR="00313717">
              <w:rPr>
                <w:noProof/>
                <w:webHidden/>
              </w:rPr>
              <w:tab/>
            </w:r>
            <w:r w:rsidR="00313717">
              <w:rPr>
                <w:noProof/>
                <w:webHidden/>
              </w:rPr>
              <w:fldChar w:fldCharType="begin"/>
            </w:r>
            <w:r w:rsidR="00313717">
              <w:rPr>
                <w:noProof/>
                <w:webHidden/>
              </w:rPr>
              <w:instrText xml:space="preserve"> PAGEREF _Toc145077395 \h </w:instrText>
            </w:r>
            <w:r w:rsidR="00313717">
              <w:rPr>
                <w:noProof/>
                <w:webHidden/>
              </w:rPr>
            </w:r>
            <w:r w:rsidR="00313717">
              <w:rPr>
                <w:noProof/>
                <w:webHidden/>
              </w:rPr>
              <w:fldChar w:fldCharType="separate"/>
            </w:r>
            <w:r w:rsidR="00313717">
              <w:rPr>
                <w:noProof/>
                <w:webHidden/>
              </w:rPr>
              <w:t>2</w:t>
            </w:r>
            <w:r w:rsidR="00313717">
              <w:rPr>
                <w:noProof/>
                <w:webHidden/>
              </w:rPr>
              <w:fldChar w:fldCharType="end"/>
            </w:r>
          </w:hyperlink>
        </w:p>
        <w:p w:rsidR="00313717" w:rsidRDefault="00313717">
          <w:pPr>
            <w:pStyle w:val="TDC2"/>
            <w:tabs>
              <w:tab w:val="right" w:leader="dot" w:pos="8296"/>
            </w:tabs>
            <w:rPr>
              <w:rFonts w:eastAsiaTheme="minorEastAsia"/>
              <w:noProof/>
              <w:color w:val="auto"/>
              <w:lang w:val="es-CL" w:eastAsia="es-CL"/>
            </w:rPr>
          </w:pPr>
          <w:hyperlink w:anchor="_Toc145077396" w:history="1">
            <w:r w:rsidRPr="00320D9D">
              <w:rPr>
                <w:rStyle w:val="Hipervnculo"/>
                <w:noProof/>
              </w:rPr>
              <w:t>Ingreso al Portal</w:t>
            </w:r>
            <w:r>
              <w:rPr>
                <w:noProof/>
                <w:webHidden/>
              </w:rPr>
              <w:tab/>
            </w:r>
            <w:r>
              <w:rPr>
                <w:noProof/>
                <w:webHidden/>
              </w:rPr>
              <w:fldChar w:fldCharType="begin"/>
            </w:r>
            <w:r>
              <w:rPr>
                <w:noProof/>
                <w:webHidden/>
              </w:rPr>
              <w:instrText xml:space="preserve"> PAGEREF _Toc145077396 \h </w:instrText>
            </w:r>
            <w:r>
              <w:rPr>
                <w:noProof/>
                <w:webHidden/>
              </w:rPr>
            </w:r>
            <w:r>
              <w:rPr>
                <w:noProof/>
                <w:webHidden/>
              </w:rPr>
              <w:fldChar w:fldCharType="separate"/>
            </w:r>
            <w:r>
              <w:rPr>
                <w:noProof/>
                <w:webHidden/>
              </w:rPr>
              <w:t>3</w:t>
            </w:r>
            <w:r>
              <w:rPr>
                <w:noProof/>
                <w:webHidden/>
              </w:rPr>
              <w:fldChar w:fldCharType="end"/>
            </w:r>
          </w:hyperlink>
        </w:p>
        <w:p w:rsidR="00313717" w:rsidRDefault="00313717">
          <w:pPr>
            <w:pStyle w:val="TDC2"/>
            <w:tabs>
              <w:tab w:val="right" w:leader="dot" w:pos="8296"/>
            </w:tabs>
            <w:rPr>
              <w:rFonts w:eastAsiaTheme="minorEastAsia"/>
              <w:noProof/>
              <w:color w:val="auto"/>
              <w:lang w:val="es-CL" w:eastAsia="es-CL"/>
            </w:rPr>
          </w:pPr>
          <w:hyperlink w:anchor="_Toc145077397" w:history="1">
            <w:r w:rsidRPr="00320D9D">
              <w:rPr>
                <w:rStyle w:val="Hipervnculo"/>
                <w:noProof/>
              </w:rPr>
              <w:t>Visualizacion de Pantalla</w:t>
            </w:r>
            <w:r>
              <w:rPr>
                <w:noProof/>
                <w:webHidden/>
              </w:rPr>
              <w:tab/>
            </w:r>
            <w:r>
              <w:rPr>
                <w:noProof/>
                <w:webHidden/>
              </w:rPr>
              <w:fldChar w:fldCharType="begin"/>
            </w:r>
            <w:r>
              <w:rPr>
                <w:noProof/>
                <w:webHidden/>
              </w:rPr>
              <w:instrText xml:space="preserve"> PAGEREF _Toc145077397 \h </w:instrText>
            </w:r>
            <w:r>
              <w:rPr>
                <w:noProof/>
                <w:webHidden/>
              </w:rPr>
            </w:r>
            <w:r>
              <w:rPr>
                <w:noProof/>
                <w:webHidden/>
              </w:rPr>
              <w:fldChar w:fldCharType="separate"/>
            </w:r>
            <w:r>
              <w:rPr>
                <w:noProof/>
                <w:webHidden/>
              </w:rPr>
              <w:t>5</w:t>
            </w:r>
            <w:r>
              <w:rPr>
                <w:noProof/>
                <w:webHidden/>
              </w:rPr>
              <w:fldChar w:fldCharType="end"/>
            </w:r>
          </w:hyperlink>
        </w:p>
        <w:p w:rsidR="00313717" w:rsidRDefault="00313717">
          <w:pPr>
            <w:pStyle w:val="TDC2"/>
            <w:tabs>
              <w:tab w:val="right" w:leader="dot" w:pos="8296"/>
            </w:tabs>
            <w:rPr>
              <w:rFonts w:eastAsiaTheme="minorEastAsia"/>
              <w:noProof/>
              <w:color w:val="auto"/>
              <w:lang w:val="es-CL" w:eastAsia="es-CL"/>
            </w:rPr>
          </w:pPr>
          <w:hyperlink w:anchor="_Toc145077398" w:history="1">
            <w:r w:rsidRPr="00320D9D">
              <w:rPr>
                <w:rStyle w:val="Hipervnculo"/>
                <w:noProof/>
              </w:rPr>
              <w:t>Descarga de manual</w:t>
            </w:r>
            <w:r>
              <w:rPr>
                <w:noProof/>
                <w:webHidden/>
              </w:rPr>
              <w:tab/>
            </w:r>
            <w:r>
              <w:rPr>
                <w:noProof/>
                <w:webHidden/>
              </w:rPr>
              <w:fldChar w:fldCharType="begin"/>
            </w:r>
            <w:r>
              <w:rPr>
                <w:noProof/>
                <w:webHidden/>
              </w:rPr>
              <w:instrText xml:space="preserve"> PAGEREF _Toc145077398 \h </w:instrText>
            </w:r>
            <w:r>
              <w:rPr>
                <w:noProof/>
                <w:webHidden/>
              </w:rPr>
            </w:r>
            <w:r>
              <w:rPr>
                <w:noProof/>
                <w:webHidden/>
              </w:rPr>
              <w:fldChar w:fldCharType="separate"/>
            </w:r>
            <w:r>
              <w:rPr>
                <w:noProof/>
                <w:webHidden/>
              </w:rPr>
              <w:t>5</w:t>
            </w:r>
            <w:r>
              <w:rPr>
                <w:noProof/>
                <w:webHidden/>
              </w:rPr>
              <w:fldChar w:fldCharType="end"/>
            </w:r>
          </w:hyperlink>
        </w:p>
        <w:p w:rsidR="00313717" w:rsidRDefault="00313717">
          <w:pPr>
            <w:pStyle w:val="TDC2"/>
            <w:tabs>
              <w:tab w:val="right" w:leader="dot" w:pos="8296"/>
            </w:tabs>
            <w:rPr>
              <w:rFonts w:eastAsiaTheme="minorEastAsia"/>
              <w:noProof/>
              <w:color w:val="auto"/>
              <w:lang w:val="es-CL" w:eastAsia="es-CL"/>
            </w:rPr>
          </w:pPr>
          <w:hyperlink w:anchor="_Toc145077399" w:history="1">
            <w:r w:rsidRPr="00320D9D">
              <w:rPr>
                <w:rStyle w:val="Hipervnculo"/>
                <w:noProof/>
              </w:rPr>
              <w:t>Ingreso de planilla de equivalencia</w:t>
            </w:r>
            <w:r>
              <w:rPr>
                <w:noProof/>
                <w:webHidden/>
              </w:rPr>
              <w:tab/>
            </w:r>
            <w:r>
              <w:rPr>
                <w:noProof/>
                <w:webHidden/>
              </w:rPr>
              <w:fldChar w:fldCharType="begin"/>
            </w:r>
            <w:r>
              <w:rPr>
                <w:noProof/>
                <w:webHidden/>
              </w:rPr>
              <w:instrText xml:space="preserve"> PAGEREF _Toc145077399 \h </w:instrText>
            </w:r>
            <w:r>
              <w:rPr>
                <w:noProof/>
                <w:webHidden/>
              </w:rPr>
            </w:r>
            <w:r>
              <w:rPr>
                <w:noProof/>
                <w:webHidden/>
              </w:rPr>
              <w:fldChar w:fldCharType="separate"/>
            </w:r>
            <w:r>
              <w:rPr>
                <w:noProof/>
                <w:webHidden/>
              </w:rPr>
              <w:t>6</w:t>
            </w:r>
            <w:r>
              <w:rPr>
                <w:noProof/>
                <w:webHidden/>
              </w:rPr>
              <w:fldChar w:fldCharType="end"/>
            </w:r>
          </w:hyperlink>
        </w:p>
        <w:p w:rsidR="00313717" w:rsidRDefault="00313717">
          <w:pPr>
            <w:pStyle w:val="TDC2"/>
            <w:tabs>
              <w:tab w:val="right" w:leader="dot" w:pos="8296"/>
            </w:tabs>
            <w:rPr>
              <w:rFonts w:eastAsiaTheme="minorEastAsia"/>
              <w:noProof/>
              <w:color w:val="auto"/>
              <w:lang w:val="es-CL" w:eastAsia="es-CL"/>
            </w:rPr>
          </w:pPr>
          <w:hyperlink w:anchor="_Toc145077400" w:history="1">
            <w:r w:rsidRPr="00320D9D">
              <w:rPr>
                <w:rStyle w:val="Hipervnculo"/>
                <w:noProof/>
              </w:rPr>
              <w:t>Descarga de Informacion</w:t>
            </w:r>
            <w:r>
              <w:rPr>
                <w:noProof/>
                <w:webHidden/>
              </w:rPr>
              <w:tab/>
            </w:r>
            <w:r>
              <w:rPr>
                <w:noProof/>
                <w:webHidden/>
              </w:rPr>
              <w:fldChar w:fldCharType="begin"/>
            </w:r>
            <w:r>
              <w:rPr>
                <w:noProof/>
                <w:webHidden/>
              </w:rPr>
              <w:instrText xml:space="preserve"> PAGEREF _Toc145077400 \h </w:instrText>
            </w:r>
            <w:r>
              <w:rPr>
                <w:noProof/>
                <w:webHidden/>
              </w:rPr>
            </w:r>
            <w:r>
              <w:rPr>
                <w:noProof/>
                <w:webHidden/>
              </w:rPr>
              <w:fldChar w:fldCharType="separate"/>
            </w:r>
            <w:r>
              <w:rPr>
                <w:noProof/>
                <w:webHidden/>
              </w:rPr>
              <w:t>7</w:t>
            </w:r>
            <w:r>
              <w:rPr>
                <w:noProof/>
                <w:webHidden/>
              </w:rPr>
              <w:fldChar w:fldCharType="end"/>
            </w:r>
          </w:hyperlink>
        </w:p>
        <w:p w:rsidR="00313717" w:rsidRDefault="00313717">
          <w:pPr>
            <w:pStyle w:val="TDC2"/>
            <w:tabs>
              <w:tab w:val="right" w:leader="dot" w:pos="8296"/>
            </w:tabs>
            <w:rPr>
              <w:rFonts w:eastAsiaTheme="minorEastAsia"/>
              <w:noProof/>
              <w:color w:val="auto"/>
              <w:lang w:val="es-CL" w:eastAsia="es-CL"/>
            </w:rPr>
          </w:pPr>
          <w:hyperlink w:anchor="_Toc145077401" w:history="1">
            <w:r w:rsidRPr="00320D9D">
              <w:rPr>
                <w:rStyle w:val="Hipervnculo"/>
                <w:noProof/>
              </w:rPr>
              <w:t>Ingreso manual de equivalencia</w:t>
            </w:r>
            <w:r>
              <w:rPr>
                <w:noProof/>
                <w:webHidden/>
              </w:rPr>
              <w:tab/>
            </w:r>
            <w:r>
              <w:rPr>
                <w:noProof/>
                <w:webHidden/>
              </w:rPr>
              <w:fldChar w:fldCharType="begin"/>
            </w:r>
            <w:r>
              <w:rPr>
                <w:noProof/>
                <w:webHidden/>
              </w:rPr>
              <w:instrText xml:space="preserve"> PAGEREF _Toc145077401 \h </w:instrText>
            </w:r>
            <w:r>
              <w:rPr>
                <w:noProof/>
                <w:webHidden/>
              </w:rPr>
            </w:r>
            <w:r>
              <w:rPr>
                <w:noProof/>
                <w:webHidden/>
              </w:rPr>
              <w:fldChar w:fldCharType="separate"/>
            </w:r>
            <w:r>
              <w:rPr>
                <w:noProof/>
                <w:webHidden/>
              </w:rPr>
              <w:t>8</w:t>
            </w:r>
            <w:r>
              <w:rPr>
                <w:noProof/>
                <w:webHidden/>
              </w:rPr>
              <w:fldChar w:fldCharType="end"/>
            </w:r>
          </w:hyperlink>
        </w:p>
        <w:p w:rsidR="00313717" w:rsidRDefault="00313717">
          <w:pPr>
            <w:pStyle w:val="TDC2"/>
            <w:tabs>
              <w:tab w:val="right" w:leader="dot" w:pos="8296"/>
            </w:tabs>
            <w:rPr>
              <w:rFonts w:eastAsiaTheme="minorEastAsia"/>
              <w:noProof/>
              <w:color w:val="auto"/>
              <w:lang w:val="es-CL" w:eastAsia="es-CL"/>
            </w:rPr>
          </w:pPr>
          <w:hyperlink w:anchor="_Toc145077402" w:history="1">
            <w:r w:rsidRPr="00320D9D">
              <w:rPr>
                <w:rStyle w:val="Hipervnculo"/>
                <w:noProof/>
              </w:rPr>
              <w:t>Listar y editar artículos</w:t>
            </w:r>
            <w:r>
              <w:rPr>
                <w:noProof/>
                <w:webHidden/>
              </w:rPr>
              <w:tab/>
            </w:r>
            <w:r>
              <w:rPr>
                <w:noProof/>
                <w:webHidden/>
              </w:rPr>
              <w:fldChar w:fldCharType="begin"/>
            </w:r>
            <w:r>
              <w:rPr>
                <w:noProof/>
                <w:webHidden/>
              </w:rPr>
              <w:instrText xml:space="preserve"> PAGEREF _Toc145077402 \h </w:instrText>
            </w:r>
            <w:r>
              <w:rPr>
                <w:noProof/>
                <w:webHidden/>
              </w:rPr>
            </w:r>
            <w:r>
              <w:rPr>
                <w:noProof/>
                <w:webHidden/>
              </w:rPr>
              <w:fldChar w:fldCharType="separate"/>
            </w:r>
            <w:r>
              <w:rPr>
                <w:noProof/>
                <w:webHidden/>
              </w:rPr>
              <w:t>9</w:t>
            </w:r>
            <w:r>
              <w:rPr>
                <w:noProof/>
                <w:webHidden/>
              </w:rPr>
              <w:fldChar w:fldCharType="end"/>
            </w:r>
          </w:hyperlink>
        </w:p>
        <w:p w:rsidR="00313717" w:rsidRDefault="00313717">
          <w:pPr>
            <w:pStyle w:val="TDC2"/>
            <w:tabs>
              <w:tab w:val="right" w:leader="dot" w:pos="8296"/>
            </w:tabs>
            <w:rPr>
              <w:rFonts w:eastAsiaTheme="minorEastAsia"/>
              <w:noProof/>
              <w:color w:val="auto"/>
              <w:lang w:val="es-CL" w:eastAsia="es-CL"/>
            </w:rPr>
          </w:pPr>
          <w:hyperlink w:anchor="_Toc145077403" w:history="1">
            <w:r w:rsidRPr="00320D9D">
              <w:rPr>
                <w:rStyle w:val="Hipervnculo"/>
                <w:noProof/>
              </w:rPr>
              <w:t>IMPORTANTE</w:t>
            </w:r>
            <w:r>
              <w:rPr>
                <w:noProof/>
                <w:webHidden/>
              </w:rPr>
              <w:tab/>
            </w:r>
            <w:r>
              <w:rPr>
                <w:noProof/>
                <w:webHidden/>
              </w:rPr>
              <w:fldChar w:fldCharType="begin"/>
            </w:r>
            <w:r>
              <w:rPr>
                <w:noProof/>
                <w:webHidden/>
              </w:rPr>
              <w:instrText xml:space="preserve"> PAGEREF _Toc145077403 \h </w:instrText>
            </w:r>
            <w:r>
              <w:rPr>
                <w:noProof/>
                <w:webHidden/>
              </w:rPr>
            </w:r>
            <w:r>
              <w:rPr>
                <w:noProof/>
                <w:webHidden/>
              </w:rPr>
              <w:fldChar w:fldCharType="separate"/>
            </w:r>
            <w:r>
              <w:rPr>
                <w:noProof/>
                <w:webHidden/>
              </w:rPr>
              <w:t>10</w:t>
            </w:r>
            <w:r>
              <w:rPr>
                <w:noProof/>
                <w:webHidden/>
              </w:rPr>
              <w:fldChar w:fldCharType="end"/>
            </w:r>
          </w:hyperlink>
        </w:p>
        <w:p w:rsidR="00E32279" w:rsidRDefault="00E32279">
          <w:r>
            <w:rPr>
              <w:b/>
              <w:bCs/>
            </w:rPr>
            <w:fldChar w:fldCharType="end"/>
          </w:r>
        </w:p>
      </w:sdtContent>
    </w:sdt>
    <w:p w:rsidR="00E32279" w:rsidRDefault="00E32279">
      <w:pPr>
        <w:rPr>
          <w:rFonts w:asciiTheme="majorHAnsi" w:eastAsiaTheme="majorEastAsia" w:hAnsiTheme="majorHAnsi" w:cstheme="majorBidi"/>
          <w:noProof/>
          <w:color w:val="007789" w:themeColor="accent1" w:themeShade="BF"/>
          <w:sz w:val="32"/>
        </w:rPr>
      </w:pPr>
      <w:r>
        <w:rPr>
          <w:noProof/>
        </w:rPr>
        <w:br w:type="page"/>
      </w:r>
    </w:p>
    <w:p w:rsidR="00C6554A" w:rsidRPr="009679B1" w:rsidRDefault="00E32279" w:rsidP="00E32279">
      <w:pPr>
        <w:pStyle w:val="Ttulo2"/>
        <w:rPr>
          <w:noProof/>
        </w:rPr>
      </w:pPr>
      <w:bookmarkStart w:id="0" w:name="_Toc145077395"/>
      <w:r>
        <w:rPr>
          <w:noProof/>
        </w:rPr>
        <w:lastRenderedPageBreak/>
        <w:t>Introduccion</w:t>
      </w:r>
      <w:bookmarkEnd w:id="0"/>
    </w:p>
    <w:p w:rsidR="00DE0004" w:rsidRPr="009679B1" w:rsidRDefault="00DE0004" w:rsidP="00DE0004">
      <w:pPr>
        <w:pStyle w:val="Listaconvietas"/>
        <w:numPr>
          <w:ilvl w:val="0"/>
          <w:numId w:val="0"/>
        </w:numPr>
        <w:jc w:val="both"/>
        <w:rPr>
          <w:noProof/>
        </w:rPr>
      </w:pPr>
      <w:r w:rsidRPr="00DE0004">
        <w:rPr>
          <w:noProof/>
        </w:rPr>
        <w:t>En un mundo cada vez más digitalizado y orientado hacia la eficiencia, la automatización se ha convertido en una herramienta fundamental para mejorar los procesos empresariales. Sin embargo, como en todo avance tecnológico, su implementación no está exenta de desafíos y obstáculos. En este contexto, nos encontramos con un caso particularmente interesante: la automatización de la subida de equivalencias de códigos, una tarea que, si no se maneja con precisión, puede tener repercusiones significativas en el ámbito de la facturación.</w:t>
      </w:r>
    </w:p>
    <w:p w:rsidR="00DE0004" w:rsidRDefault="00DE0004" w:rsidP="00DE0004">
      <w:pPr>
        <w:jc w:val="both"/>
        <w:rPr>
          <w:noProof/>
        </w:rPr>
      </w:pPr>
      <w:r w:rsidRPr="00DE0004">
        <w:rPr>
          <w:noProof/>
        </w:rPr>
        <w:t>En esta introducción, exploraremos cómo la automatización de la subida de equivalencias de códigos, aunque concebida para agilizar los procesos</w:t>
      </w:r>
      <w:r>
        <w:rPr>
          <w:noProof/>
        </w:rPr>
        <w:t xml:space="preserve"> de digitacion en el sistema de facturacion.</w:t>
      </w:r>
    </w:p>
    <w:p w:rsidR="00E32279" w:rsidRDefault="00DE0004" w:rsidP="00DE0004">
      <w:pPr>
        <w:jc w:val="both"/>
        <w:rPr>
          <w:rFonts w:asciiTheme="majorHAnsi" w:eastAsiaTheme="majorEastAsia" w:hAnsiTheme="majorHAnsi" w:cstheme="majorBidi"/>
          <w:caps/>
          <w:noProof/>
          <w:color w:val="007789" w:themeColor="accent1" w:themeShade="BF"/>
          <w:sz w:val="24"/>
        </w:rPr>
      </w:pPr>
      <w:r>
        <w:rPr>
          <w:noProof/>
        </w:rPr>
        <w:t>Explicare paso a paso de forma sencilla, el ingreso al portal de Monarch y la carga de las equivalencias de los distintos codigos.</w:t>
      </w:r>
      <w:r w:rsidR="00E32279">
        <w:rPr>
          <w:noProof/>
        </w:rPr>
        <w:br w:type="page"/>
      </w:r>
    </w:p>
    <w:p w:rsidR="00E32279" w:rsidRDefault="00E32279" w:rsidP="00E32279">
      <w:pPr>
        <w:pStyle w:val="Ttulo2"/>
        <w:rPr>
          <w:noProof/>
        </w:rPr>
      </w:pPr>
      <w:bookmarkStart w:id="1" w:name="_Toc145077396"/>
      <w:r>
        <w:rPr>
          <w:noProof/>
        </w:rPr>
        <w:lastRenderedPageBreak/>
        <w:t>Ingreso al Portal</w:t>
      </w:r>
      <w:bookmarkEnd w:id="1"/>
    </w:p>
    <w:p w:rsidR="002C74C0" w:rsidRDefault="00DE0004" w:rsidP="00313717">
      <w:pPr>
        <w:jc w:val="both"/>
        <w:rPr>
          <w:noProof/>
        </w:rPr>
      </w:pPr>
      <w:r>
        <w:rPr>
          <w:noProof/>
        </w:rPr>
        <w:t>Para el ingreso al portal solo debemos dirigirnos al siguiente link:</w:t>
      </w:r>
    </w:p>
    <w:p w:rsidR="00DE0004" w:rsidRDefault="00DE0004" w:rsidP="00E32279">
      <w:pPr>
        <w:rPr>
          <w:noProof/>
        </w:rPr>
      </w:pPr>
      <w:hyperlink r:id="rId9" w:history="1">
        <w:r w:rsidRPr="00DE0004">
          <w:rPr>
            <w:rStyle w:val="Hipervnculo"/>
            <w:noProof/>
          </w:rPr>
          <w:t>http://www.infomonarch.cl/grupomonarch/portal</w:t>
        </w:r>
      </w:hyperlink>
    </w:p>
    <w:p w:rsidR="00DE0004" w:rsidRDefault="00DE0004" w:rsidP="00E32279">
      <w:pPr>
        <w:rPr>
          <w:noProof/>
        </w:rPr>
      </w:pPr>
      <w:r>
        <w:rPr>
          <w:noProof/>
          <w:lang w:val="es-CL" w:eastAsia="es-CL"/>
        </w:rPr>
        <w:drawing>
          <wp:inline distT="0" distB="0" distL="0" distR="0" wp14:anchorId="4D33CC1A" wp14:editId="1F00DECB">
            <wp:extent cx="5274310" cy="28454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5435"/>
                    </a:xfrm>
                    <a:prstGeom prst="rect">
                      <a:avLst/>
                    </a:prstGeom>
                  </pic:spPr>
                </pic:pic>
              </a:graphicData>
            </a:graphic>
          </wp:inline>
        </w:drawing>
      </w:r>
    </w:p>
    <w:p w:rsidR="00DE0004" w:rsidRDefault="00DE0004" w:rsidP="00E32279">
      <w:pPr>
        <w:rPr>
          <w:noProof/>
        </w:rPr>
      </w:pPr>
    </w:p>
    <w:p w:rsidR="00DE0004" w:rsidRDefault="00DE0004" w:rsidP="00313717">
      <w:pPr>
        <w:jc w:val="both"/>
        <w:rPr>
          <w:noProof/>
        </w:rPr>
      </w:pPr>
      <w:r>
        <w:rPr>
          <w:noProof/>
        </w:rPr>
        <w:t>Este portal fue creado por la sencilla razon de tener todos los procesos de monarch en un solo lugar.</w:t>
      </w:r>
    </w:p>
    <w:p w:rsidR="00DE0004" w:rsidRDefault="00DE0004" w:rsidP="00313717">
      <w:pPr>
        <w:jc w:val="both"/>
        <w:rPr>
          <w:noProof/>
        </w:rPr>
      </w:pPr>
      <w:r>
        <w:rPr>
          <w:noProof/>
        </w:rPr>
        <w:t>Para este caso de la carga de equivalencias que tendra acceso el departamento de SAC tendra un solo menu, el cual se les fue asignado.</w:t>
      </w:r>
    </w:p>
    <w:p w:rsidR="00DE0004" w:rsidRDefault="00DE0004" w:rsidP="00313717">
      <w:pPr>
        <w:jc w:val="both"/>
        <w:rPr>
          <w:noProof/>
        </w:rPr>
      </w:pPr>
      <w:r>
        <w:rPr>
          <w:noProof/>
        </w:rPr>
        <w:t>Al momento de ingresar al link se les solicitara un Usuario y una clave, que para el departamento sera generica.</w:t>
      </w:r>
    </w:p>
    <w:p w:rsidR="00DE0004" w:rsidRPr="00DE0004" w:rsidRDefault="00DE0004" w:rsidP="00313717">
      <w:pPr>
        <w:jc w:val="both"/>
        <w:rPr>
          <w:b/>
          <w:noProof/>
        </w:rPr>
      </w:pPr>
      <w:r w:rsidRPr="00DE0004">
        <w:rPr>
          <w:b/>
          <w:noProof/>
        </w:rPr>
        <w:t>Usuario : SAC</w:t>
      </w:r>
    </w:p>
    <w:p w:rsidR="00DE0004" w:rsidRDefault="00DE0004" w:rsidP="00313717">
      <w:pPr>
        <w:jc w:val="both"/>
        <w:rPr>
          <w:b/>
          <w:noProof/>
        </w:rPr>
      </w:pPr>
      <w:r w:rsidRPr="00DE0004">
        <w:rPr>
          <w:b/>
          <w:noProof/>
        </w:rPr>
        <w:t>Contraseña : SAC</w:t>
      </w:r>
    </w:p>
    <w:p w:rsidR="00294220" w:rsidRDefault="00294220">
      <w:pPr>
        <w:rPr>
          <w:noProof/>
        </w:rPr>
      </w:pPr>
      <w:r>
        <w:rPr>
          <w:noProof/>
        </w:rPr>
        <w:br w:type="page"/>
      </w:r>
    </w:p>
    <w:p w:rsidR="00294220" w:rsidRDefault="00294220" w:rsidP="00313717">
      <w:pPr>
        <w:jc w:val="both"/>
        <w:rPr>
          <w:noProof/>
        </w:rPr>
      </w:pPr>
      <w:r>
        <w:rPr>
          <w:noProof/>
        </w:rPr>
        <w:lastRenderedPageBreak/>
        <w:t>Ingresara a la pagina principal del portal con un solo menu, que es el corresponde para la carga de equivalencias.</w:t>
      </w:r>
    </w:p>
    <w:p w:rsidR="00294220" w:rsidRDefault="00294220" w:rsidP="00E32279">
      <w:pPr>
        <w:rPr>
          <w:noProof/>
        </w:rPr>
      </w:pPr>
    </w:p>
    <w:p w:rsidR="00294220" w:rsidRDefault="00294220" w:rsidP="00E32279">
      <w:pPr>
        <w:rPr>
          <w:noProof/>
        </w:rPr>
      </w:pPr>
      <w:r>
        <w:rPr>
          <w:noProof/>
          <w:lang w:val="es-CL" w:eastAsia="es-CL"/>
        </w:rPr>
        <w:drawing>
          <wp:inline distT="0" distB="0" distL="0" distR="0" wp14:anchorId="4D7187B9" wp14:editId="56F03E15">
            <wp:extent cx="1847850" cy="212760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9902" cy="2141480"/>
                    </a:xfrm>
                    <a:prstGeom prst="rect">
                      <a:avLst/>
                    </a:prstGeom>
                  </pic:spPr>
                </pic:pic>
              </a:graphicData>
            </a:graphic>
          </wp:inline>
        </w:drawing>
      </w:r>
    </w:p>
    <w:p w:rsidR="00294220" w:rsidRDefault="00294220">
      <w:pPr>
        <w:rPr>
          <w:noProof/>
        </w:rPr>
      </w:pPr>
      <w:r>
        <w:rPr>
          <w:noProof/>
        </w:rPr>
        <w:t>Solo faltaria dar clic a el menu.</w:t>
      </w:r>
      <w:r>
        <w:rPr>
          <w:noProof/>
        </w:rPr>
        <w:br w:type="page"/>
      </w:r>
    </w:p>
    <w:p w:rsidR="00294220" w:rsidRDefault="00294220" w:rsidP="00294220">
      <w:pPr>
        <w:pStyle w:val="Ttulo2"/>
        <w:rPr>
          <w:noProof/>
        </w:rPr>
      </w:pPr>
      <w:bookmarkStart w:id="2" w:name="_Toc145077397"/>
      <w:r>
        <w:rPr>
          <w:noProof/>
        </w:rPr>
        <w:lastRenderedPageBreak/>
        <w:t>Visualizacion de Pantalla</w:t>
      </w:r>
      <w:bookmarkEnd w:id="2"/>
    </w:p>
    <w:p w:rsidR="00294220" w:rsidRPr="00294220" w:rsidRDefault="00294220" w:rsidP="00313717">
      <w:pPr>
        <w:jc w:val="both"/>
      </w:pPr>
      <w:r>
        <w:t>Al ingresar al menú se desplegara la siguiente pantalla, donde desglosaré uno a uno sus funcionalidades.</w:t>
      </w:r>
    </w:p>
    <w:p w:rsidR="00294220" w:rsidRDefault="00294220" w:rsidP="00294220">
      <w:r>
        <w:rPr>
          <w:noProof/>
          <w:lang w:val="es-CL" w:eastAsia="es-CL"/>
        </w:rPr>
        <w:drawing>
          <wp:inline distT="0" distB="0" distL="0" distR="0" wp14:anchorId="46A9BE21" wp14:editId="044FD5F6">
            <wp:extent cx="5274310" cy="240855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08555"/>
                    </a:xfrm>
                    <a:prstGeom prst="rect">
                      <a:avLst/>
                    </a:prstGeom>
                  </pic:spPr>
                </pic:pic>
              </a:graphicData>
            </a:graphic>
          </wp:inline>
        </w:drawing>
      </w:r>
    </w:p>
    <w:p w:rsidR="00294220" w:rsidRDefault="00294220" w:rsidP="00294220"/>
    <w:p w:rsidR="00294220" w:rsidRDefault="00294220" w:rsidP="00294220">
      <w:pPr>
        <w:pStyle w:val="Ttulo2"/>
      </w:pPr>
      <w:bookmarkStart w:id="3" w:name="_Toc145077398"/>
      <w:r>
        <w:t>Descarga de manual</w:t>
      </w:r>
      <w:bookmarkEnd w:id="3"/>
    </w:p>
    <w:p w:rsidR="00294220" w:rsidRPr="00294220" w:rsidRDefault="00294220" w:rsidP="00313717">
      <w:pPr>
        <w:jc w:val="both"/>
      </w:pPr>
      <w:r>
        <w:t>En la parte superior izquierda de la pantalla se mostrara un link donde pueden descargar el manual tantas veces lo deseen.</w:t>
      </w:r>
    </w:p>
    <w:p w:rsidR="00294220" w:rsidRDefault="00294220" w:rsidP="00294220">
      <w:r>
        <w:rPr>
          <w:noProof/>
          <w:lang w:val="es-CL" w:eastAsia="es-CL"/>
        </w:rPr>
        <w:drawing>
          <wp:inline distT="0" distB="0" distL="0" distR="0" wp14:anchorId="763DFFA8" wp14:editId="615F8640">
            <wp:extent cx="5274310" cy="983615"/>
            <wp:effectExtent l="0" t="0" r="254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83615"/>
                    </a:xfrm>
                    <a:prstGeom prst="rect">
                      <a:avLst/>
                    </a:prstGeom>
                  </pic:spPr>
                </pic:pic>
              </a:graphicData>
            </a:graphic>
          </wp:inline>
        </w:drawing>
      </w:r>
    </w:p>
    <w:p w:rsidR="00294220" w:rsidRDefault="00294220">
      <w:pPr>
        <w:rPr>
          <w:rFonts w:asciiTheme="majorHAnsi" w:eastAsiaTheme="majorEastAsia" w:hAnsiTheme="majorHAnsi" w:cstheme="majorBidi"/>
          <w:caps/>
          <w:color w:val="007789" w:themeColor="accent1" w:themeShade="BF"/>
          <w:sz w:val="24"/>
        </w:rPr>
      </w:pPr>
      <w:r>
        <w:br w:type="page"/>
      </w:r>
    </w:p>
    <w:p w:rsidR="00294220" w:rsidRDefault="00294220" w:rsidP="00294220">
      <w:pPr>
        <w:pStyle w:val="Ttulo2"/>
      </w:pPr>
      <w:bookmarkStart w:id="4" w:name="_Toc145077399"/>
      <w:r>
        <w:lastRenderedPageBreak/>
        <w:t>Ingreso de planilla de equivalencia</w:t>
      </w:r>
      <w:bookmarkEnd w:id="4"/>
    </w:p>
    <w:p w:rsidR="00294220" w:rsidRPr="00294220" w:rsidRDefault="00294220" w:rsidP="00313717">
      <w:pPr>
        <w:jc w:val="both"/>
      </w:pPr>
      <w:r>
        <w:t>En esta funcionalidad del sistema les permite cargar una planilla Excel con todas las equivalencias necesarias o nuevas enviadas por la vendedora a carga</w:t>
      </w:r>
      <w:r w:rsidR="00BE6230">
        <w:t>r</w:t>
      </w:r>
      <w:r>
        <w:t xml:space="preserve"> de cada canal.</w:t>
      </w:r>
    </w:p>
    <w:p w:rsidR="00294220" w:rsidRDefault="00294220" w:rsidP="00294220">
      <w:r>
        <w:rPr>
          <w:noProof/>
          <w:lang w:val="es-CL" w:eastAsia="es-CL"/>
        </w:rPr>
        <w:drawing>
          <wp:inline distT="0" distB="0" distL="0" distR="0" wp14:anchorId="2647F4DC" wp14:editId="36C945AA">
            <wp:extent cx="5274310" cy="1346200"/>
            <wp:effectExtent l="0" t="0" r="254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46200"/>
                    </a:xfrm>
                    <a:prstGeom prst="rect">
                      <a:avLst/>
                    </a:prstGeom>
                  </pic:spPr>
                </pic:pic>
              </a:graphicData>
            </a:graphic>
          </wp:inline>
        </w:drawing>
      </w:r>
    </w:p>
    <w:p w:rsidR="00294220" w:rsidRDefault="00294220" w:rsidP="00313717">
      <w:pPr>
        <w:jc w:val="both"/>
      </w:pPr>
      <w:r>
        <w:t xml:space="preserve">Donde el botón </w:t>
      </w:r>
      <w:r>
        <w:rPr>
          <w:noProof/>
          <w:lang w:val="es-CL" w:eastAsia="es-CL"/>
        </w:rPr>
        <w:drawing>
          <wp:inline distT="0" distB="0" distL="0" distR="0" wp14:anchorId="6AEE18A8" wp14:editId="4248FA39">
            <wp:extent cx="828571" cy="4285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8571" cy="428571"/>
                    </a:xfrm>
                    <a:prstGeom prst="rect">
                      <a:avLst/>
                    </a:prstGeom>
                  </pic:spPr>
                </pic:pic>
              </a:graphicData>
            </a:graphic>
          </wp:inline>
        </w:drawing>
      </w:r>
      <w:r>
        <w:t xml:space="preserve"> les permite descargar el ar</w:t>
      </w:r>
      <w:r w:rsidR="00A947C9">
        <w:t>chivo previamente parametrizado para su posterior carga.</w:t>
      </w:r>
    </w:p>
    <w:p w:rsidR="00A947C9" w:rsidRDefault="00A947C9" w:rsidP="00294220">
      <w:r>
        <w:rPr>
          <w:noProof/>
          <w:lang w:val="es-CL" w:eastAsia="es-CL"/>
        </w:rPr>
        <w:drawing>
          <wp:inline distT="0" distB="0" distL="0" distR="0" wp14:anchorId="25B7D687" wp14:editId="722ED0E3">
            <wp:extent cx="5274310" cy="1312545"/>
            <wp:effectExtent l="0" t="0" r="254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12545"/>
                    </a:xfrm>
                    <a:prstGeom prst="rect">
                      <a:avLst/>
                    </a:prstGeom>
                  </pic:spPr>
                </pic:pic>
              </a:graphicData>
            </a:graphic>
          </wp:inline>
        </w:drawing>
      </w:r>
    </w:p>
    <w:p w:rsidR="00A947C9" w:rsidRDefault="00A947C9" w:rsidP="00294220">
      <w:r>
        <w:t>Donde se les solicitará:</w:t>
      </w:r>
    </w:p>
    <w:p w:rsidR="00A947C9" w:rsidRDefault="00A947C9" w:rsidP="00A947C9">
      <w:pPr>
        <w:pStyle w:val="Prrafodelista"/>
        <w:numPr>
          <w:ilvl w:val="0"/>
          <w:numId w:val="16"/>
        </w:numPr>
      </w:pPr>
      <w:r>
        <w:t>Canal de Venta (FALABELLA, PARIS, RIPLEY, LA POLAR, TRICOT, HITES)</w:t>
      </w:r>
    </w:p>
    <w:p w:rsidR="00A947C9" w:rsidRDefault="00A947C9" w:rsidP="00A947C9">
      <w:pPr>
        <w:pStyle w:val="Prrafodelista"/>
        <w:numPr>
          <w:ilvl w:val="0"/>
          <w:numId w:val="16"/>
        </w:numPr>
      </w:pPr>
      <w:r>
        <w:t>Código</w:t>
      </w:r>
      <w:r w:rsidRPr="00E7578A">
        <w:rPr>
          <w:lang w:val="es-CL"/>
        </w:rPr>
        <w:t xml:space="preserve"> Monarch</w:t>
      </w:r>
      <w:r>
        <w:t>. (Ej. 00222-U-NEG).</w:t>
      </w:r>
    </w:p>
    <w:p w:rsidR="00A947C9" w:rsidRDefault="00A947C9" w:rsidP="00A947C9">
      <w:pPr>
        <w:pStyle w:val="Prrafodelista"/>
        <w:numPr>
          <w:ilvl w:val="0"/>
          <w:numId w:val="16"/>
        </w:numPr>
      </w:pPr>
      <w:r>
        <w:t>Código Tienda (SKU del cliente)</w:t>
      </w:r>
    </w:p>
    <w:p w:rsidR="00A947C9" w:rsidRDefault="00A947C9" w:rsidP="00A947C9">
      <w:pPr>
        <w:pStyle w:val="Prrafodelista"/>
        <w:numPr>
          <w:ilvl w:val="0"/>
          <w:numId w:val="16"/>
        </w:numPr>
      </w:pPr>
      <w:r>
        <w:t>Barra Cliente (UPC)</w:t>
      </w:r>
    </w:p>
    <w:p w:rsidR="00A947C9" w:rsidRDefault="00A947C9" w:rsidP="00A947C9">
      <w:pPr>
        <w:pStyle w:val="Prrafodelista"/>
        <w:numPr>
          <w:ilvl w:val="0"/>
          <w:numId w:val="16"/>
        </w:numPr>
      </w:pPr>
      <w:r>
        <w:t>Descripción de la tienda.</w:t>
      </w:r>
    </w:p>
    <w:p w:rsidR="00B10BA3" w:rsidRDefault="00A947C9" w:rsidP="00A947C9">
      <w:pPr>
        <w:jc w:val="both"/>
      </w:pPr>
      <w:r>
        <w:t>Estos datos son necesarios para la posterior subida de orden de compra y digitación, ya que al subir la planilla de orden de compra, el programa de forma automática, va a consultar la tabla de equivalencia y lo compara con maestro de monarch.</w:t>
      </w:r>
    </w:p>
    <w:p w:rsidR="00B10BA3" w:rsidRDefault="00B10BA3" w:rsidP="00A947C9">
      <w:pPr>
        <w:jc w:val="both"/>
      </w:pPr>
      <w:r>
        <w:t>En el caso que el SKU del cliente exista, el programa lo actualizará.</w:t>
      </w:r>
    </w:p>
    <w:p w:rsidR="00A947C9" w:rsidRDefault="00A947C9" w:rsidP="00A947C9">
      <w:pPr>
        <w:jc w:val="both"/>
        <w:rPr>
          <w:b/>
        </w:rPr>
      </w:pPr>
      <w:r w:rsidRPr="00A947C9">
        <w:rPr>
          <w:b/>
        </w:rPr>
        <w:t>Si el código monarch ingresado en la planilla de equivalencia no está creado en el maestro de artículos enviara un mensaje de error.</w:t>
      </w:r>
    </w:p>
    <w:p w:rsidR="00A947C9" w:rsidRPr="00A947C9" w:rsidRDefault="00A947C9" w:rsidP="00A947C9">
      <w:pPr>
        <w:jc w:val="both"/>
      </w:pPr>
      <w:r>
        <w:t xml:space="preserve">Al culminar el llenado de la planilla de equivalencia, solo queda subirla y presionar </w:t>
      </w:r>
      <w:r>
        <w:rPr>
          <w:noProof/>
          <w:lang w:val="es-CL" w:eastAsia="es-CL"/>
        </w:rPr>
        <w:drawing>
          <wp:inline distT="0" distB="0" distL="0" distR="0" wp14:anchorId="2FE640CC" wp14:editId="3E6C99D3">
            <wp:extent cx="1161905" cy="447619"/>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1905" cy="447619"/>
                    </a:xfrm>
                    <a:prstGeom prst="rect">
                      <a:avLst/>
                    </a:prstGeom>
                  </pic:spPr>
                </pic:pic>
              </a:graphicData>
            </a:graphic>
          </wp:inline>
        </w:drawing>
      </w:r>
    </w:p>
    <w:p w:rsidR="00294220" w:rsidRPr="00294220" w:rsidRDefault="00294220" w:rsidP="00294220"/>
    <w:p w:rsidR="00294220" w:rsidRPr="00294220" w:rsidRDefault="00294220" w:rsidP="00E32279">
      <w:pPr>
        <w:rPr>
          <w:noProof/>
        </w:rPr>
      </w:pPr>
    </w:p>
    <w:p w:rsidR="00DE0004" w:rsidRPr="00A947C9" w:rsidRDefault="00A947C9" w:rsidP="00A947C9">
      <w:pPr>
        <w:pStyle w:val="Ttulo2"/>
        <w:rPr>
          <w:noProof/>
        </w:rPr>
      </w:pPr>
      <w:bookmarkStart w:id="5" w:name="_Toc145077400"/>
      <w:r>
        <w:rPr>
          <w:noProof/>
        </w:rPr>
        <w:t>Descarga de Informacion</w:t>
      </w:r>
      <w:bookmarkEnd w:id="5"/>
    </w:p>
    <w:p w:rsidR="00DE0004" w:rsidRPr="00A947C9" w:rsidRDefault="00A947C9" w:rsidP="00313717">
      <w:pPr>
        <w:jc w:val="both"/>
        <w:rPr>
          <w:noProof/>
        </w:rPr>
      </w:pPr>
      <w:r>
        <w:rPr>
          <w:noProof/>
        </w:rPr>
        <w:t xml:space="preserve">Este funcionalidad tiene como </w:t>
      </w:r>
      <w:r w:rsidR="005F75F8">
        <w:rPr>
          <w:noProof/>
        </w:rPr>
        <w:t>objetivo descargar la informacion almacen</w:t>
      </w:r>
      <w:r w:rsidR="00BD1B3A">
        <w:rPr>
          <w:noProof/>
        </w:rPr>
        <w:t>ada en la base de datos de equiv</w:t>
      </w:r>
      <w:bookmarkStart w:id="6" w:name="_GoBack"/>
      <w:bookmarkEnd w:id="6"/>
      <w:r w:rsidR="005F75F8">
        <w:rPr>
          <w:noProof/>
        </w:rPr>
        <w:t>alencia.</w:t>
      </w:r>
    </w:p>
    <w:p w:rsidR="00DE0004" w:rsidRDefault="005F75F8" w:rsidP="00E32279">
      <w:pPr>
        <w:rPr>
          <w:b/>
          <w:noProof/>
        </w:rPr>
      </w:pPr>
      <w:r>
        <w:rPr>
          <w:noProof/>
          <w:lang w:val="es-CL" w:eastAsia="es-CL"/>
        </w:rPr>
        <w:drawing>
          <wp:inline distT="0" distB="0" distL="0" distR="0" wp14:anchorId="44D8ECE3" wp14:editId="56CEDEEB">
            <wp:extent cx="5274310" cy="1271270"/>
            <wp:effectExtent l="0" t="0" r="254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71270"/>
                    </a:xfrm>
                    <a:prstGeom prst="rect">
                      <a:avLst/>
                    </a:prstGeom>
                  </pic:spPr>
                </pic:pic>
              </a:graphicData>
            </a:graphic>
          </wp:inline>
        </w:drawing>
      </w:r>
    </w:p>
    <w:p w:rsidR="005F75F8" w:rsidRDefault="005F75F8" w:rsidP="00313717">
      <w:pPr>
        <w:jc w:val="both"/>
        <w:rPr>
          <w:noProof/>
        </w:rPr>
      </w:pPr>
      <w:r>
        <w:rPr>
          <w:noProof/>
        </w:rPr>
        <w:t>Solo debe seleccionar el canal de venta que necesita y descarga todas las equivalencias ya subidas a modo de auditoria o fines que estime conveniente. La informacion descargada viene detalla con:</w:t>
      </w:r>
    </w:p>
    <w:p w:rsidR="005F75F8" w:rsidRDefault="005F75F8" w:rsidP="005F75F8">
      <w:pPr>
        <w:pStyle w:val="Prrafodelista"/>
        <w:numPr>
          <w:ilvl w:val="0"/>
          <w:numId w:val="17"/>
        </w:numPr>
        <w:rPr>
          <w:noProof/>
        </w:rPr>
      </w:pPr>
      <w:r>
        <w:rPr>
          <w:noProof/>
        </w:rPr>
        <w:t>Rut cliente</w:t>
      </w:r>
    </w:p>
    <w:p w:rsidR="005F75F8" w:rsidRDefault="005F75F8" w:rsidP="005F75F8">
      <w:pPr>
        <w:pStyle w:val="Prrafodelista"/>
        <w:numPr>
          <w:ilvl w:val="0"/>
          <w:numId w:val="17"/>
        </w:numPr>
        <w:rPr>
          <w:noProof/>
        </w:rPr>
      </w:pPr>
      <w:r>
        <w:rPr>
          <w:noProof/>
        </w:rPr>
        <w:t>Canal</w:t>
      </w:r>
    </w:p>
    <w:p w:rsidR="005F75F8" w:rsidRDefault="005F75F8" w:rsidP="005F75F8">
      <w:pPr>
        <w:pStyle w:val="Prrafodelista"/>
        <w:numPr>
          <w:ilvl w:val="0"/>
          <w:numId w:val="17"/>
        </w:numPr>
        <w:rPr>
          <w:noProof/>
        </w:rPr>
      </w:pPr>
      <w:r>
        <w:rPr>
          <w:noProof/>
        </w:rPr>
        <w:t>Codigo Monarch</w:t>
      </w:r>
    </w:p>
    <w:p w:rsidR="005F75F8" w:rsidRDefault="005F75F8" w:rsidP="005F75F8">
      <w:pPr>
        <w:pStyle w:val="Prrafodelista"/>
        <w:numPr>
          <w:ilvl w:val="0"/>
          <w:numId w:val="17"/>
        </w:numPr>
        <w:rPr>
          <w:noProof/>
        </w:rPr>
      </w:pPr>
      <w:r>
        <w:rPr>
          <w:noProof/>
        </w:rPr>
        <w:t>Barra Monarch</w:t>
      </w:r>
    </w:p>
    <w:p w:rsidR="005F75F8" w:rsidRDefault="005F75F8" w:rsidP="005F75F8">
      <w:pPr>
        <w:pStyle w:val="Prrafodelista"/>
        <w:numPr>
          <w:ilvl w:val="0"/>
          <w:numId w:val="17"/>
        </w:numPr>
        <w:rPr>
          <w:noProof/>
        </w:rPr>
      </w:pPr>
      <w:r>
        <w:rPr>
          <w:noProof/>
        </w:rPr>
        <w:t>Descripcion Monarch</w:t>
      </w:r>
    </w:p>
    <w:p w:rsidR="005F75F8" w:rsidRDefault="005F75F8" w:rsidP="005F75F8">
      <w:pPr>
        <w:pStyle w:val="Prrafodelista"/>
        <w:numPr>
          <w:ilvl w:val="0"/>
          <w:numId w:val="17"/>
        </w:numPr>
        <w:rPr>
          <w:noProof/>
        </w:rPr>
      </w:pPr>
      <w:r>
        <w:rPr>
          <w:noProof/>
        </w:rPr>
        <w:t>Sku cliente</w:t>
      </w:r>
    </w:p>
    <w:p w:rsidR="005F75F8" w:rsidRDefault="005F75F8" w:rsidP="005F75F8">
      <w:pPr>
        <w:pStyle w:val="Prrafodelista"/>
        <w:numPr>
          <w:ilvl w:val="0"/>
          <w:numId w:val="17"/>
        </w:numPr>
        <w:rPr>
          <w:noProof/>
        </w:rPr>
      </w:pPr>
      <w:r>
        <w:rPr>
          <w:noProof/>
        </w:rPr>
        <w:t>UPC</w:t>
      </w:r>
    </w:p>
    <w:p w:rsidR="005F75F8" w:rsidRDefault="005F75F8" w:rsidP="005F75F8">
      <w:pPr>
        <w:pStyle w:val="Prrafodelista"/>
        <w:numPr>
          <w:ilvl w:val="0"/>
          <w:numId w:val="17"/>
        </w:numPr>
        <w:rPr>
          <w:noProof/>
        </w:rPr>
      </w:pPr>
      <w:r>
        <w:rPr>
          <w:noProof/>
        </w:rPr>
        <w:t>Descripcion Cliente</w:t>
      </w:r>
    </w:p>
    <w:p w:rsidR="005F75F8" w:rsidRDefault="005F75F8" w:rsidP="005F75F8">
      <w:pPr>
        <w:pStyle w:val="Prrafodelista"/>
        <w:numPr>
          <w:ilvl w:val="0"/>
          <w:numId w:val="17"/>
        </w:numPr>
        <w:rPr>
          <w:noProof/>
        </w:rPr>
      </w:pPr>
      <w:r>
        <w:rPr>
          <w:noProof/>
        </w:rPr>
        <w:t>Factor de conversion</w:t>
      </w:r>
    </w:p>
    <w:p w:rsidR="005F75F8" w:rsidRDefault="005F75F8" w:rsidP="005F75F8">
      <w:pPr>
        <w:pStyle w:val="Prrafodelista"/>
        <w:numPr>
          <w:ilvl w:val="0"/>
          <w:numId w:val="17"/>
        </w:numPr>
        <w:rPr>
          <w:noProof/>
        </w:rPr>
      </w:pPr>
      <w:r>
        <w:rPr>
          <w:noProof/>
        </w:rPr>
        <w:t>Bodega</w:t>
      </w:r>
    </w:p>
    <w:p w:rsidR="005F75F8" w:rsidRDefault="005F75F8" w:rsidP="005F75F8">
      <w:pPr>
        <w:pStyle w:val="Prrafodelista"/>
        <w:numPr>
          <w:ilvl w:val="0"/>
          <w:numId w:val="17"/>
        </w:numPr>
        <w:rPr>
          <w:noProof/>
        </w:rPr>
      </w:pPr>
      <w:r>
        <w:rPr>
          <w:noProof/>
        </w:rPr>
        <w:t>Unidad de medida</w:t>
      </w:r>
    </w:p>
    <w:p w:rsidR="005F75F8" w:rsidRDefault="005F75F8" w:rsidP="005F75F8">
      <w:pPr>
        <w:pStyle w:val="Prrafodelista"/>
        <w:numPr>
          <w:ilvl w:val="0"/>
          <w:numId w:val="17"/>
        </w:numPr>
        <w:rPr>
          <w:noProof/>
        </w:rPr>
      </w:pPr>
      <w:r>
        <w:rPr>
          <w:noProof/>
        </w:rPr>
        <w:t>Precio Lista</w:t>
      </w:r>
    </w:p>
    <w:p w:rsidR="005F75F8" w:rsidRDefault="005F75F8">
      <w:pPr>
        <w:rPr>
          <w:noProof/>
        </w:rPr>
      </w:pPr>
      <w:r>
        <w:rPr>
          <w:noProof/>
        </w:rPr>
        <w:br w:type="page"/>
      </w:r>
    </w:p>
    <w:p w:rsidR="005F75F8" w:rsidRDefault="005F75F8" w:rsidP="005F75F8">
      <w:pPr>
        <w:pStyle w:val="Ttulo2"/>
        <w:rPr>
          <w:noProof/>
        </w:rPr>
      </w:pPr>
      <w:bookmarkStart w:id="7" w:name="_Toc145077401"/>
      <w:r>
        <w:rPr>
          <w:noProof/>
        </w:rPr>
        <w:lastRenderedPageBreak/>
        <w:t>Ingreso manual de equivalencia</w:t>
      </w:r>
      <w:bookmarkEnd w:id="7"/>
    </w:p>
    <w:p w:rsidR="005F75F8" w:rsidRDefault="005F75F8" w:rsidP="00313717">
      <w:pPr>
        <w:jc w:val="both"/>
      </w:pPr>
      <w:r>
        <w:t xml:space="preserve">Esta funcionalidad del proceso permite ingresar códigos uno a uno, por ejemplo, si en la carga de orden de compra, solo falta un </w:t>
      </w:r>
      <w:r w:rsidR="00313717">
        <w:t>artículo</w:t>
      </w:r>
      <w:r>
        <w:t xml:space="preserve"> para la equivalencia, se puede ingresar de esta forma.</w:t>
      </w:r>
    </w:p>
    <w:p w:rsidR="005F75F8" w:rsidRDefault="005F75F8" w:rsidP="005F75F8">
      <w:r>
        <w:rPr>
          <w:noProof/>
          <w:lang w:val="es-CL" w:eastAsia="es-CL"/>
        </w:rPr>
        <w:drawing>
          <wp:inline distT="0" distB="0" distL="0" distR="0" wp14:anchorId="60D9FA3B" wp14:editId="060577F9">
            <wp:extent cx="5274310" cy="1082040"/>
            <wp:effectExtent l="0" t="0" r="254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2040"/>
                    </a:xfrm>
                    <a:prstGeom prst="rect">
                      <a:avLst/>
                    </a:prstGeom>
                  </pic:spPr>
                </pic:pic>
              </a:graphicData>
            </a:graphic>
          </wp:inline>
        </w:drawing>
      </w:r>
    </w:p>
    <w:p w:rsidR="005F75F8" w:rsidRDefault="005F75F8" w:rsidP="00313717">
      <w:pPr>
        <w:jc w:val="both"/>
      </w:pPr>
      <w:r>
        <w:t xml:space="preserve">Donde nos solicita los mismos datos que la planilla masiva, al terminar de ingresar los datos solicitados, solo basta con presionar el botón </w:t>
      </w:r>
      <w:r>
        <w:rPr>
          <w:noProof/>
          <w:lang w:val="es-CL" w:eastAsia="es-CL"/>
        </w:rPr>
        <w:drawing>
          <wp:inline distT="0" distB="0" distL="0" distR="0" wp14:anchorId="7F0870BC" wp14:editId="75BAD6FA">
            <wp:extent cx="1371429" cy="447619"/>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429" cy="447619"/>
                    </a:xfrm>
                    <a:prstGeom prst="rect">
                      <a:avLst/>
                    </a:prstGeom>
                  </pic:spPr>
                </pic:pic>
              </a:graphicData>
            </a:graphic>
          </wp:inline>
        </w:drawing>
      </w:r>
      <w:r>
        <w:t xml:space="preserve"> y el nuevo artículo para equivalencia se guardara.</w:t>
      </w:r>
    </w:p>
    <w:p w:rsidR="00B10BA3" w:rsidRDefault="00B10BA3" w:rsidP="00313717">
      <w:pPr>
        <w:jc w:val="both"/>
      </w:pPr>
      <w:r>
        <w:t>Todos los datos asociados al código de monarch los guardara de forma automática por debajo.</w:t>
      </w:r>
    </w:p>
    <w:p w:rsidR="00B10BA3" w:rsidRDefault="00B10BA3">
      <w:r>
        <w:br w:type="page"/>
      </w:r>
    </w:p>
    <w:p w:rsidR="00B10BA3" w:rsidRDefault="00B10BA3" w:rsidP="00B10BA3">
      <w:pPr>
        <w:pStyle w:val="Ttulo2"/>
      </w:pPr>
      <w:bookmarkStart w:id="8" w:name="_Toc145077402"/>
      <w:r>
        <w:lastRenderedPageBreak/>
        <w:t>Listar y editar artículos</w:t>
      </w:r>
      <w:bookmarkEnd w:id="8"/>
    </w:p>
    <w:p w:rsidR="00B10BA3" w:rsidRDefault="00B10BA3" w:rsidP="00313717">
      <w:pPr>
        <w:jc w:val="both"/>
      </w:pPr>
      <w:r>
        <w:t>En el último apartado del programa se permite listar los artículos de equivalencia ya ingresados anteriormente.</w:t>
      </w:r>
    </w:p>
    <w:p w:rsidR="00B10BA3" w:rsidRDefault="00B10BA3" w:rsidP="00B10BA3">
      <w:r>
        <w:rPr>
          <w:noProof/>
          <w:lang w:val="es-CL" w:eastAsia="es-CL"/>
        </w:rPr>
        <w:drawing>
          <wp:inline distT="0" distB="0" distL="0" distR="0" wp14:anchorId="13341116" wp14:editId="3CD648EF">
            <wp:extent cx="5274310" cy="1818005"/>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18005"/>
                    </a:xfrm>
                    <a:prstGeom prst="rect">
                      <a:avLst/>
                    </a:prstGeom>
                  </pic:spPr>
                </pic:pic>
              </a:graphicData>
            </a:graphic>
          </wp:inline>
        </w:drawing>
      </w:r>
    </w:p>
    <w:p w:rsidR="00B10BA3" w:rsidRDefault="00B10BA3" w:rsidP="00313717">
      <w:pPr>
        <w:jc w:val="both"/>
      </w:pPr>
      <w:r>
        <w:t>Donde al seleccionar el canal e ingresar el artículo, se desplegara la información del articulo con sus distintos SKU de cliente, en el cual tenemos dos opciones, Editar o Eliminar.</w:t>
      </w:r>
    </w:p>
    <w:p w:rsidR="00B10BA3" w:rsidRDefault="00B10BA3" w:rsidP="00313717">
      <w:pPr>
        <w:jc w:val="both"/>
      </w:pPr>
      <w:r>
        <w:t>Editar:</w:t>
      </w:r>
    </w:p>
    <w:p w:rsidR="00B10BA3" w:rsidRDefault="00B10BA3" w:rsidP="00313717">
      <w:pPr>
        <w:jc w:val="both"/>
      </w:pPr>
      <w:r>
        <w:t xml:space="preserve">Al momento de presionar el Botón </w:t>
      </w:r>
      <w:r>
        <w:rPr>
          <w:noProof/>
          <w:lang w:val="es-CL" w:eastAsia="es-CL"/>
        </w:rPr>
        <w:drawing>
          <wp:inline distT="0" distB="0" distL="0" distR="0" wp14:anchorId="5E62A8E2" wp14:editId="278D2272">
            <wp:extent cx="471604" cy="276225"/>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924" cy="280512"/>
                    </a:xfrm>
                    <a:prstGeom prst="rect">
                      <a:avLst/>
                    </a:prstGeom>
                  </pic:spPr>
                </pic:pic>
              </a:graphicData>
            </a:graphic>
          </wp:inline>
        </w:drawing>
      </w:r>
      <w:r>
        <w:t xml:space="preserve"> se cargara la información de la línea seleccionada en el formulario de ingreso, el cual podemos editar el campo necesario, y presionar </w:t>
      </w:r>
      <w:r>
        <w:rPr>
          <w:noProof/>
          <w:lang w:val="es-CL" w:eastAsia="es-CL"/>
        </w:rPr>
        <w:drawing>
          <wp:inline distT="0" distB="0" distL="0" distR="0" wp14:anchorId="3CAB0177" wp14:editId="23C11E3A">
            <wp:extent cx="814508" cy="219075"/>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8970" cy="222965"/>
                    </a:xfrm>
                    <a:prstGeom prst="rect">
                      <a:avLst/>
                    </a:prstGeom>
                  </pic:spPr>
                </pic:pic>
              </a:graphicData>
            </a:graphic>
          </wp:inline>
        </w:drawing>
      </w:r>
      <w:r>
        <w:t xml:space="preserve"> para que el sku del cliente sea editado.</w:t>
      </w:r>
    </w:p>
    <w:p w:rsidR="00B10BA3" w:rsidRDefault="00B10BA3" w:rsidP="00313717">
      <w:pPr>
        <w:jc w:val="both"/>
      </w:pPr>
      <w:r>
        <w:t xml:space="preserve">Eliminar: </w:t>
      </w:r>
    </w:p>
    <w:p w:rsidR="00B10BA3" w:rsidRDefault="00B10BA3" w:rsidP="00313717">
      <w:pPr>
        <w:jc w:val="both"/>
      </w:pPr>
      <w:r>
        <w:t xml:space="preserve">En esta opción al presionar el botón </w:t>
      </w:r>
      <w:r>
        <w:rPr>
          <w:noProof/>
          <w:lang w:val="es-CL" w:eastAsia="es-CL"/>
        </w:rPr>
        <w:drawing>
          <wp:inline distT="0" distB="0" distL="0" distR="0" wp14:anchorId="21216F2D" wp14:editId="59AE07DF">
            <wp:extent cx="400050" cy="165354"/>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291" cy="170414"/>
                    </a:xfrm>
                    <a:prstGeom prst="rect">
                      <a:avLst/>
                    </a:prstGeom>
                  </pic:spPr>
                </pic:pic>
              </a:graphicData>
            </a:graphic>
          </wp:inline>
        </w:drawing>
      </w:r>
      <w:r>
        <w:t xml:space="preserve"> el artículo se eliminará de la tabla de equivalencia.</w:t>
      </w:r>
    </w:p>
    <w:p w:rsidR="00B10BA3" w:rsidRDefault="00B10BA3" w:rsidP="00313717">
      <w:pPr>
        <w:jc w:val="both"/>
      </w:pPr>
      <w:r>
        <w:br w:type="page"/>
      </w:r>
    </w:p>
    <w:p w:rsidR="00B10BA3" w:rsidRDefault="00B10BA3" w:rsidP="00B10BA3">
      <w:pPr>
        <w:pStyle w:val="Ttulo2"/>
      </w:pPr>
      <w:bookmarkStart w:id="9" w:name="_Toc145077403"/>
      <w:r>
        <w:lastRenderedPageBreak/>
        <w:t>IMPORTANTE</w:t>
      </w:r>
      <w:bookmarkEnd w:id="9"/>
    </w:p>
    <w:p w:rsidR="00B10BA3" w:rsidRDefault="00B10BA3" w:rsidP="00313717">
      <w:pPr>
        <w:jc w:val="both"/>
      </w:pPr>
      <w:r>
        <w:t xml:space="preserve">Este proceso es muy importando para la correcta digitación y posterior facturación de las </w:t>
      </w:r>
      <w:r w:rsidR="00313717">
        <w:t>órdenes</w:t>
      </w:r>
      <w:r>
        <w:t xml:space="preserve"> de compra de cada cliente, por lo cual hay que ser cuidadosos al momento de subir la información.</w:t>
      </w:r>
    </w:p>
    <w:p w:rsidR="00B10BA3" w:rsidRDefault="00B10BA3" w:rsidP="00313717">
      <w:pPr>
        <w:jc w:val="both"/>
      </w:pPr>
      <w:r>
        <w:t xml:space="preserve">Si necesita subir </w:t>
      </w:r>
      <w:r w:rsidR="00313717">
        <w:t>un archivo masivo de equivalencia, verificar si cada línea tiene su canal de venta como corresponde al sku del cliente.</w:t>
      </w:r>
    </w:p>
    <w:p w:rsidR="00313717" w:rsidRDefault="00313717" w:rsidP="00313717">
      <w:pPr>
        <w:jc w:val="both"/>
      </w:pPr>
      <w:r>
        <w:t xml:space="preserve">En la columna A de la base del archivo, viene con un comentario como recordatorio que se debe copiar hacia abajo tantos SKU </w:t>
      </w:r>
      <w:r w:rsidR="00E7578A">
        <w:t>ha</w:t>
      </w:r>
      <w:r>
        <w:t xml:space="preserve"> ingresado.</w:t>
      </w:r>
    </w:p>
    <w:p w:rsidR="00313717" w:rsidRPr="00B10BA3" w:rsidRDefault="00313717" w:rsidP="00313717">
      <w:pPr>
        <w:jc w:val="both"/>
      </w:pPr>
      <w:r>
        <w:t>Cualquier duda, consulta o mejora que pueda proponer, por favor hacerla llegar.</w:t>
      </w:r>
    </w:p>
    <w:p w:rsidR="00B10BA3" w:rsidRPr="00B10BA3" w:rsidRDefault="00B10BA3" w:rsidP="00B10BA3"/>
    <w:sectPr w:rsidR="00B10BA3" w:rsidRPr="00B10BA3" w:rsidSect="0089714F">
      <w:headerReference w:type="default" r:id="rId25"/>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B30" w:rsidRDefault="00904B30" w:rsidP="00C6554A">
      <w:pPr>
        <w:spacing w:before="0" w:after="0" w:line="240" w:lineRule="auto"/>
      </w:pPr>
      <w:r>
        <w:separator/>
      </w:r>
    </w:p>
  </w:endnote>
  <w:endnote w:type="continuationSeparator" w:id="0">
    <w:p w:rsidR="00904B30" w:rsidRDefault="00904B3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BD1B3A">
      <w:rPr>
        <w:noProof/>
        <w:lang w:bidi="es-ES"/>
      </w:rPr>
      <w:t>7</w:t>
    </w:r>
    <w:r>
      <w:rPr>
        <w:noProof/>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B30" w:rsidRDefault="00904B30" w:rsidP="00C6554A">
      <w:pPr>
        <w:spacing w:before="0" w:after="0" w:line="240" w:lineRule="auto"/>
      </w:pPr>
      <w:r>
        <w:separator/>
      </w:r>
    </w:p>
  </w:footnote>
  <w:footnote w:type="continuationSeparator" w:id="0">
    <w:p w:rsidR="00904B30" w:rsidRDefault="00904B30"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717" w:rsidRDefault="00313717" w:rsidP="00313717">
    <w:pPr>
      <w:pStyle w:val="Informacindecontacto"/>
      <w:jc w:val="right"/>
      <w:rPr>
        <w:noProof/>
      </w:rPr>
    </w:pPr>
    <w:r>
      <w:rPr>
        <w:noProof/>
      </w:rPr>
      <w:t>Monarch 08/09/2023</w:t>
    </w:r>
  </w:p>
  <w:p w:rsidR="00313717" w:rsidRDefault="00313717" w:rsidP="00313717">
    <w:pPr>
      <w:pStyle w:val="Encabezado"/>
      <w:jc w:val="right"/>
    </w:pPr>
    <w:r>
      <w:rPr>
        <w:noProof/>
      </w:rPr>
      <w:t>Departamento de Informatica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105AC7"/>
    <w:multiLevelType w:val="hybridMultilevel"/>
    <w:tmpl w:val="A9DAA4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4A268D"/>
    <w:multiLevelType w:val="hybridMultilevel"/>
    <w:tmpl w:val="542C89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79"/>
    <w:rsid w:val="002554CD"/>
    <w:rsid w:val="00293B83"/>
    <w:rsid w:val="00294220"/>
    <w:rsid w:val="002B4294"/>
    <w:rsid w:val="00313717"/>
    <w:rsid w:val="00333D0D"/>
    <w:rsid w:val="003D555A"/>
    <w:rsid w:val="004C049F"/>
    <w:rsid w:val="005000E2"/>
    <w:rsid w:val="0051785D"/>
    <w:rsid w:val="005F75F8"/>
    <w:rsid w:val="006A3CE7"/>
    <w:rsid w:val="0089714F"/>
    <w:rsid w:val="00904B30"/>
    <w:rsid w:val="009679B1"/>
    <w:rsid w:val="00986062"/>
    <w:rsid w:val="00A947C9"/>
    <w:rsid w:val="00B10BA3"/>
    <w:rsid w:val="00BD1B3A"/>
    <w:rsid w:val="00BE6230"/>
    <w:rsid w:val="00C6554A"/>
    <w:rsid w:val="00CB0705"/>
    <w:rsid w:val="00DE0004"/>
    <w:rsid w:val="00E32279"/>
    <w:rsid w:val="00E7578A"/>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D86F"/>
  <w15:chartTrackingRefBased/>
  <w15:docId w15:val="{BDA48930-9FC8-47BB-A1F6-C39DDF5E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deTDC">
    <w:name w:val="TOC Heading"/>
    <w:basedOn w:val="Ttulo1"/>
    <w:next w:val="Normal"/>
    <w:uiPriority w:val="39"/>
    <w:unhideWhenUsed/>
    <w:qFormat/>
    <w:rsid w:val="00E32279"/>
    <w:pPr>
      <w:spacing w:before="240" w:after="0" w:line="259" w:lineRule="auto"/>
      <w:contextualSpacing w:val="0"/>
      <w:outlineLvl w:val="9"/>
    </w:pPr>
    <w:rPr>
      <w:szCs w:val="32"/>
      <w:lang w:val="es-CL" w:eastAsia="es-CL"/>
    </w:rPr>
  </w:style>
  <w:style w:type="paragraph" w:styleId="TDC1">
    <w:name w:val="toc 1"/>
    <w:basedOn w:val="Normal"/>
    <w:next w:val="Normal"/>
    <w:autoRedefine/>
    <w:uiPriority w:val="39"/>
    <w:unhideWhenUsed/>
    <w:rsid w:val="00E32279"/>
    <w:pPr>
      <w:spacing w:after="100"/>
    </w:pPr>
  </w:style>
  <w:style w:type="paragraph" w:styleId="TDC2">
    <w:name w:val="toc 2"/>
    <w:basedOn w:val="Normal"/>
    <w:next w:val="Normal"/>
    <w:autoRedefine/>
    <w:uiPriority w:val="39"/>
    <w:unhideWhenUsed/>
    <w:rsid w:val="00E32279"/>
    <w:pPr>
      <w:spacing w:after="100"/>
      <w:ind w:left="220"/>
    </w:pPr>
  </w:style>
  <w:style w:type="paragraph" w:styleId="Prrafodelista">
    <w:name w:val="List Paragraph"/>
    <w:basedOn w:val="Normal"/>
    <w:uiPriority w:val="34"/>
    <w:unhideWhenUsed/>
    <w:qFormat/>
    <w:rsid w:val="00A94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infomonarch.cl/grupomonarch/porta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20Puyol\AppData\Roaming\Microsoft\Templates\Informe%20del%20alumno%20con%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D0"/>
    <w:rsid w:val="00F634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EC03C392CF747768FABE73E4F483635">
    <w:name w:val="5EC03C392CF747768FABE73E4F483635"/>
  </w:style>
  <w:style w:type="paragraph" w:customStyle="1" w:styleId="51525F9237CB4E5EB596A2ADB3198DE0">
    <w:name w:val="51525F9237CB4E5EB596A2ADB3198DE0"/>
  </w:style>
  <w:style w:type="paragraph" w:customStyle="1" w:styleId="E39D7B9920D8449A864377FAF43AB451">
    <w:name w:val="E39D7B9920D8449A864377FAF43AB451"/>
  </w:style>
  <w:style w:type="paragraph" w:customStyle="1" w:styleId="641EEE48F7B249D7B3828ACBC0ADA883">
    <w:name w:val="641EEE48F7B249D7B3828ACBC0ADA883"/>
  </w:style>
  <w:style w:type="paragraph" w:customStyle="1" w:styleId="BADBAEF36B614E8FB229D895C26E6B54">
    <w:name w:val="BADBAEF36B614E8FB229D895C26E6B54"/>
  </w:style>
  <w:style w:type="paragraph" w:customStyle="1" w:styleId="8B2668D1219945D8B49307A400BF4FCF">
    <w:name w:val="8B2668D1219945D8B49307A400BF4FCF"/>
  </w:style>
  <w:style w:type="paragraph" w:customStyle="1" w:styleId="7277D17605304B6AAF3EADCAC2F8E430">
    <w:name w:val="7277D17605304B6AAF3EADCAC2F8E430"/>
  </w:style>
  <w:style w:type="paragraph" w:styleId="Listaconvietas">
    <w:name w:val="List Bullet"/>
    <w:basedOn w:val="Normal"/>
    <w:uiPriority w:val="10"/>
    <w:unhideWhenUsed/>
    <w:qFormat/>
    <w:pPr>
      <w:numPr>
        <w:numId w:val="1"/>
      </w:numPr>
      <w:spacing w:before="120" w:after="200" w:line="264" w:lineRule="auto"/>
    </w:pPr>
    <w:rPr>
      <w:rFonts w:eastAsiaTheme="minorHAnsi"/>
      <w:color w:val="595959" w:themeColor="text1" w:themeTint="A6"/>
      <w:lang w:val="es-ES" w:eastAsia="en-US"/>
    </w:rPr>
  </w:style>
  <w:style w:type="paragraph" w:customStyle="1" w:styleId="8DE95D3480D34AA0B5066F6F00D138C0">
    <w:name w:val="8DE95D3480D34AA0B5066F6F00D138C0"/>
  </w:style>
  <w:style w:type="paragraph" w:customStyle="1" w:styleId="D640F191723441E9B12AE02F24124504">
    <w:name w:val="D640F191723441E9B12AE02F24124504"/>
  </w:style>
  <w:style w:type="paragraph" w:customStyle="1" w:styleId="9758269B028E4C03AEF38EE5D4992153">
    <w:name w:val="9758269B028E4C03AEF38EE5D49921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1CF0-3B5C-4F4F-B567-6941464AE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Template>
  <TotalTime>239</TotalTime>
  <Pages>11</Pages>
  <Words>937</Words>
  <Characters>5156</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Puyol</dc:creator>
  <cp:keywords/>
  <dc:description/>
  <cp:lastModifiedBy>Gonzalo Puyol</cp:lastModifiedBy>
  <cp:revision>3</cp:revision>
  <dcterms:created xsi:type="dcterms:W3CDTF">2023-09-08T16:03:00Z</dcterms:created>
  <dcterms:modified xsi:type="dcterms:W3CDTF">2023-09-08T20:02:00Z</dcterms:modified>
</cp:coreProperties>
</file>