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6171A"/>
          <w:sz w:val="48"/>
        </w:rPr>
        <w:t>Guion de presentación del TFM</w:t>
      </w:r>
    </w:p>
    <w:p>
      <w:pPr>
        <w:jc w:val="center"/>
      </w:pPr>
      <w:r>
        <w:rPr>
          <w:b/>
        </w:rPr>
        <w:t>Jesús Ferrón Rubio · Duración orientativa: 19:20</w:t>
      </w:r>
    </w:p>
    <w:p>
      <w:pPr>
        <w:jc w:val="center"/>
      </w:pPr>
      <w:r>
        <w:t>Documento independiente del PowerPoint. Las diapositivas no contienen notas incrustadas.</w:t>
      </w:r>
    </w:p>
    <w:p>
      <w:pPr>
        <w:pStyle w:val="Heading1"/>
        <w:spacing w:before="200" w:after="60"/>
      </w:pPr>
      <w:r>
        <w:t>Diapositiva 01 · Segmentación de tumores cerebrales en resonancia magnética multimodal</w:t>
      </w:r>
    </w:p>
    <w:p>
      <w:pPr>
        <w:spacing w:after="60"/>
      </w:pPr>
      <w:r>
        <w:rPr>
          <w:b/>
          <w:color w:val="E64F12"/>
        </w:rPr>
        <w:t>Tiempo orientativo: 0:30</w:t>
      </w:r>
    </w:p>
    <w:p>
      <w:pPr>
        <w:pStyle w:val="ListBullet"/>
        <w:spacing w:after="40"/>
      </w:pPr>
      <w:r>
        <w:t>Presentar el trabajo en una frase: segmentación 3D de gliomas con cuatro secuencias de RM.</w:t>
      </w:r>
    </w:p>
    <w:p>
      <w:pPr>
        <w:pStyle w:val="ListBullet"/>
        <w:spacing w:after="40"/>
      </w:pPr>
      <w:r>
        <w:t>Anticipar el foco: comprobar si una fusión adaptativa ligera mejora una concatenación directa bajo un experimento controlado.</w:t>
      </w:r>
    </w:p>
    <w:p>
      <w:pPr>
        <w:pStyle w:val="Heading1"/>
        <w:spacing w:before="200" w:after="60"/>
      </w:pPr>
      <w:r>
        <w:t>Diapositiva 02 · Cómo se responde a la pregunta del TFM</w:t>
      </w:r>
    </w:p>
    <w:p>
      <w:pPr>
        <w:spacing w:after="60"/>
      </w:pPr>
      <w:r>
        <w:rPr>
          <w:b/>
          <w:color w:val="E64F12"/>
        </w:rPr>
        <w:t>Tiempo orientativo: 0:40</w:t>
      </w:r>
    </w:p>
    <w:p>
      <w:pPr>
        <w:pStyle w:val="ListBullet"/>
        <w:spacing w:after="40"/>
      </w:pPr>
      <w:r>
        <w:t>Situar el trabajo antes de entrar en detalle: cuatro secuencias de RM deben combinarse para segmentar tres regiones tumorales.</w:t>
      </w:r>
    </w:p>
    <w:p>
      <w:pPr>
        <w:pStyle w:val="ListBullet"/>
        <w:spacing w:after="40"/>
      </w:pPr>
      <w:r>
        <w:t>Explicar que la comparación es controlada porque solo cambia el bloque de fusión.</w:t>
      </w:r>
    </w:p>
    <w:p>
      <w:pPr>
        <w:pStyle w:val="ListBullet"/>
        <w:spacing w:after="40"/>
      </w:pPr>
      <w:r>
        <w:t>Anticipar el criterio: una mejora solo se acepta si aparece de forma consistente en varias semillas y en las métricas finales.</w:t>
      </w:r>
    </w:p>
    <w:p>
      <w:pPr>
        <w:pStyle w:val="Heading1"/>
        <w:spacing w:before="200" w:after="60"/>
      </w:pPr>
      <w:r>
        <w:t>Diapositiva 03 · Delimitar un glioma es una tarea tridimensional y multimodal</w:t>
      </w:r>
    </w:p>
    <w:p>
      <w:pPr>
        <w:spacing w:after="60"/>
      </w:pPr>
      <w:r>
        <w:rPr>
          <w:b/>
          <w:color w:val="E64F12"/>
        </w:rPr>
        <w:t>Tiempo orientativo: 0:55</w:t>
      </w:r>
    </w:p>
    <w:p>
      <w:pPr>
        <w:pStyle w:val="ListBullet"/>
        <w:spacing w:after="40"/>
      </w:pPr>
      <w:r>
        <w:t>Explicar por qué la segmentación no es una clasificación: hay que asignar una región a cada vóxel del volumen.</w:t>
      </w:r>
    </w:p>
    <w:p>
      <w:pPr>
        <w:pStyle w:val="ListBullet"/>
        <w:spacing w:after="40"/>
      </w:pPr>
      <w:r>
        <w:t>Conectar la dificultad clínica con el reto técnico: combinar señales complementarias y conservar detalle espacial.</w:t>
      </w:r>
    </w:p>
    <w:p>
      <w:pPr>
        <w:pStyle w:val="ListBullet"/>
        <w:spacing w:after="40"/>
      </w:pPr>
      <w:r>
        <w:t>Aclarar que el sistema es apoyo a segmentación, no diagnóstico ni cribado.</w:t>
      </w:r>
    </w:p>
    <w:p>
      <w:pPr>
        <w:pStyle w:val="Heading1"/>
        <w:spacing w:before="200" w:after="60"/>
      </w:pPr>
      <w:r>
        <w:t>Diapositiva 04 · Cuatro secuencias de entrada; tres regiones anidadas de salida</w:t>
      </w:r>
    </w:p>
    <w:p>
      <w:pPr>
        <w:spacing w:after="60"/>
      </w:pPr>
      <w:r>
        <w:rPr>
          <w:b/>
          <w:color w:val="E64F12"/>
        </w:rPr>
        <w:t>Tiempo orientativo: 1:05</w:t>
      </w:r>
    </w:p>
    <w:p>
      <w:pPr>
        <w:pStyle w:val="ListBullet"/>
        <w:spacing w:after="40"/>
      </w:pPr>
      <w:r>
        <w:t>Dar una frase por modalidad y evitar sugerir una correspondencia exclusiva modalidad-región.</w:t>
      </w:r>
    </w:p>
    <w:p>
      <w:pPr>
        <w:pStyle w:val="ListBullet"/>
        <w:spacing w:after="40"/>
      </w:pPr>
      <w:r>
        <w:t>Explicar que las salidas son tres máscaras multietiqueta anidadas: ET dentro de TC y TC dentro de WT.</w:t>
      </w:r>
    </w:p>
    <w:p>
      <w:pPr>
        <w:pStyle w:val="ListBullet"/>
        <w:spacing w:after="40"/>
      </w:pPr>
      <w:r>
        <w:t>Este carácter complementario motiva la pregunta sobre cómo fusionar los canales.</w:t>
      </w:r>
    </w:p>
    <w:p>
      <w:pPr>
        <w:pStyle w:val="Heading1"/>
        <w:spacing w:before="200" w:after="60"/>
      </w:pPr>
      <w:r>
        <w:t>Diapositiva 05 · ¿Puede una ponderación explícita y ligera de las modalidades mejorar de forma consistente la segmentación 3D frente a la concatenación?</w:t>
      </w:r>
    </w:p>
    <w:p>
      <w:pPr>
        <w:spacing w:after="60"/>
      </w:pPr>
      <w:r>
        <w:rPr>
          <w:b/>
          <w:color w:val="E64F12"/>
        </w:rPr>
        <w:t>Tiempo orientativo: 1:00</w:t>
      </w:r>
    </w:p>
    <w:p>
      <w:pPr>
        <w:pStyle w:val="ListBullet"/>
        <w:spacing w:after="40"/>
      </w:pPr>
      <w:r>
        <w:t>Leer la pregunta de forma pausada y enfatizar dos términos: consistente y manteniendo fija la arquitectura.</w:t>
      </w:r>
    </w:p>
    <w:p>
      <w:pPr>
        <w:pStyle w:val="ListBullet"/>
        <w:spacing w:after="40"/>
      </w:pPr>
      <w:r>
        <w:t>La hipótesis no se evalúa con una única ejecución: consistencia exige varias semillas.</w:t>
      </w:r>
    </w:p>
    <w:p>
      <w:pPr>
        <w:pStyle w:val="Heading1"/>
        <w:spacing w:before="200" w:after="60"/>
      </w:pPr>
      <w:r>
        <w:t>Diapositiva 06 · Un experimento de ablación: una variable cambia y el resto se congela</w:t>
      </w:r>
    </w:p>
    <w:p>
      <w:pPr>
        <w:spacing w:after="60"/>
      </w:pPr>
      <w:r>
        <w:rPr>
          <w:b/>
          <w:color w:val="E64F12"/>
        </w:rPr>
        <w:t>Tiempo orientativo: 1:15</w:t>
      </w:r>
    </w:p>
    <w:p>
      <w:pPr>
        <w:pStyle w:val="ListBullet"/>
        <w:spacing w:after="40"/>
      </w:pPr>
      <w:r>
        <w:t>Esta es la diapositiva clave para defender causalidad interna: la ablación residual cambia solo el bloque de entrada.</w:t>
      </w:r>
    </w:p>
    <w:p>
      <w:pPr>
        <w:pStyle w:val="ListBullet"/>
        <w:spacing w:after="40"/>
      </w:pPr>
      <w:r>
        <w:t>Las referencias Swin-UNETR, Attention U-Net y nnU-Net se mostrarán después, pero no forman parte de esta ablación controlada.</w:t>
      </w:r>
    </w:p>
    <w:p>
      <w:pPr>
        <w:pStyle w:val="Heading1"/>
        <w:spacing w:before="200" w:after="60"/>
      </w:pPr>
      <w:r>
        <w:t>Diapositiva 07 · BraTS-GLI 2024: control de calidad y particiones reproducibles</w:t>
      </w:r>
    </w:p>
    <w:p>
      <w:pPr>
        <w:spacing w:after="60"/>
      </w:pPr>
      <w:r>
        <w:rPr>
          <w:b/>
          <w:color w:val="E64F12"/>
        </w:rPr>
        <w:t>Tiempo orientativo: 1:10</w:t>
      </w:r>
    </w:p>
    <w:p>
      <w:pPr>
        <w:pStyle w:val="ListBullet"/>
        <w:spacing w:after="40"/>
      </w:pPr>
      <w:r>
        <w:t>Destacar el control de calidad completo y las proporciones 70/15/15.</w:t>
      </w:r>
    </w:p>
    <w:p>
      <w:pPr>
        <w:pStyle w:val="ListBullet"/>
        <w:spacing w:after="40"/>
      </w:pPr>
      <w:r>
        <w:t>Explicar la estratificación: origen, presencia de ET y volumen de WT.</w:t>
      </w:r>
    </w:p>
    <w:p>
      <w:pPr>
        <w:pStyle w:val="ListBullet"/>
        <w:spacing w:after="40"/>
      </w:pPr>
      <w:r>
        <w:t>No ocultar el principal límite: el identificador disponible permitió separar estudios, pero no agrupar por paciente antes de entrenar.</w:t>
      </w:r>
    </w:p>
    <w:p>
      <w:pPr>
        <w:pStyle w:val="Heading1"/>
        <w:spacing w:before="200" w:after="60"/>
      </w:pPr>
      <w:r>
        <w:t>Diapositiva 08 · Un flujo común de datos, predicción y evaluación</w:t>
      </w:r>
    </w:p>
    <w:p>
      <w:pPr>
        <w:spacing w:after="60"/>
      </w:pPr>
      <w:r>
        <w:rPr>
          <w:b/>
          <w:color w:val="E64F12"/>
        </w:rPr>
        <w:t>Tiempo orientativo: 1:00</w:t>
      </w:r>
    </w:p>
    <w:p>
      <w:pPr>
        <w:pStyle w:val="ListBullet"/>
        <w:spacing w:after="40"/>
      </w:pPr>
      <w:r>
        <w:t>Recorrer el diagrama de izquierda a derecha: dataset, QC y splits; ruta MONAI y ruta nnU-Net; predicciones; evaluación común.</w:t>
      </w:r>
    </w:p>
    <w:p>
      <w:pPr>
        <w:pStyle w:val="ListBullet"/>
        <w:spacing w:after="40"/>
      </w:pPr>
      <w:r>
        <w:t>Destacar la separación entre predict y evaluate, que permite recalcular métricas sin repetir inferencia.</w:t>
      </w:r>
    </w:p>
    <w:p>
      <w:pPr>
        <w:pStyle w:val="ListBullet"/>
        <w:spacing w:after="40"/>
      </w:pPr>
      <w:r>
        <w:t>La reproducibilidad se apoya en configuraciones YAML, CLI, manifiestos y métricas versionadas.</w:t>
      </w:r>
    </w:p>
    <w:p>
      <w:pPr>
        <w:pStyle w:val="Heading1"/>
        <w:spacing w:before="200" w:after="60"/>
      </w:pPr>
      <w:r>
        <w:t>Diapositiva 09 · Cuatro estrategias de fusión antes del mismo codificador</w:t>
      </w:r>
    </w:p>
    <w:p>
      <w:pPr>
        <w:spacing w:after="60"/>
      </w:pPr>
      <w:r>
        <w:rPr>
          <w:b/>
          <w:color w:val="E64F12"/>
        </w:rPr>
        <w:t>Tiempo orientativo: 1:30</w:t>
      </w:r>
    </w:p>
    <w:p>
      <w:pPr>
        <w:pStyle w:val="ListBullet"/>
        <w:spacing w:after="40"/>
      </w:pPr>
      <w:r>
        <w:t>Concatenación deja que la primera convolución aprenda filtros distintos, pero no expone un peso interpretable por modalidad.</w:t>
      </w:r>
    </w:p>
    <w:p>
      <w:pPr>
        <w:pStyle w:val="ListBullet"/>
        <w:spacing w:after="40"/>
      </w:pPr>
      <w:r>
        <w:t>La ponderación global aprende cuatro escalares compartidos por todas las entradas.</w:t>
      </w:r>
    </w:p>
    <w:p>
      <w:pPr>
        <w:pStyle w:val="ListBullet"/>
        <w:spacing w:after="40"/>
      </w:pPr>
      <w:r>
        <w:t>Las compuertas calculan estadísticos globales del parche, pasan por un MLP y aplican softmax para reponderar canales.</w:t>
      </w:r>
    </w:p>
    <w:p>
      <w:pPr>
        <w:pStyle w:val="ListBullet"/>
        <w:spacing w:after="40"/>
      </w:pPr>
      <w:r>
        <w:t>No es atención espacial: el peso es constante dentro de cada parche o ventana.</w:t>
      </w:r>
    </w:p>
    <w:p>
      <w:pPr>
        <w:pStyle w:val="Heading1"/>
        <w:spacing w:before="200" w:after="60"/>
      </w:pPr>
      <w:r>
        <w:t>Diapositiva 10 · Protocolo común: repetir, congelar y medir por región</w:t>
      </w:r>
    </w:p>
    <w:p>
      <w:pPr>
        <w:spacing w:after="60"/>
      </w:pPr>
      <w:r>
        <w:rPr>
          <w:b/>
          <w:color w:val="E64F12"/>
        </w:rPr>
        <w:t>Tiempo orientativo: 1:05</w:t>
      </w:r>
    </w:p>
    <w:p>
      <w:pPr>
        <w:pStyle w:val="ListBullet"/>
        <w:spacing w:after="40"/>
      </w:pPr>
      <w:r>
        <w:t>Explicar el orden para evitar fuga de información: entrenamiento, selección en validación, congelación y test.</w:t>
      </w:r>
    </w:p>
    <w:p>
      <w:pPr>
        <w:pStyle w:val="ListBullet"/>
        <w:spacing w:after="40"/>
      </w:pPr>
      <w:r>
        <w:t>Dice es la métrica principal; HD95 complementa con información de distancia de superficies.</w:t>
      </w:r>
    </w:p>
    <w:p>
      <w:pPr>
        <w:pStyle w:val="ListBullet"/>
        <w:spacing w:after="40"/>
      </w:pPr>
      <w:r>
        <w:t>Las tres semillas permiten ver estabilidad, aunque siguen siendo pocas para inferencia estadística sólida.</w:t>
      </w:r>
    </w:p>
    <w:p>
      <w:pPr>
        <w:pStyle w:val="Heading1"/>
        <w:spacing w:before="200" w:after="60"/>
      </w:pPr>
      <w:r>
        <w:t>Diapositiva 11 · Resultado central: la fusión adaptativa no mejora de forma consistente</w:t>
      </w:r>
    </w:p>
    <w:p>
      <w:pPr>
        <w:spacing w:after="60"/>
      </w:pPr>
      <w:r>
        <w:rPr>
          <w:b/>
          <w:color w:val="E64F12"/>
        </w:rPr>
        <w:t>Tiempo orientativo: 1:35</w:t>
      </w:r>
    </w:p>
    <w:p>
      <w:pPr>
        <w:pStyle w:val="ListBullet"/>
        <w:spacing w:after="40"/>
      </w:pPr>
      <w:r>
        <w:t>Primero comparar concatenación y ponderación global: ambas alcanzan 0,706 con dispersión pequeña.</w:t>
      </w:r>
    </w:p>
    <w:p>
      <w:pPr>
        <w:pStyle w:val="ListBullet"/>
        <w:spacing w:after="40"/>
      </w:pPr>
      <w:r>
        <w:t>Después mostrar las compuertas: la media baja a alrededor de 0,59 y la variabilidad aumenta mucho.</w:t>
      </w:r>
    </w:p>
    <w:p>
      <w:pPr>
        <w:pStyle w:val="ListBullet"/>
        <w:spacing w:after="40"/>
      </w:pPr>
      <w:r>
        <w:t>El resultado no dice que toda fusión adaptativa falle; dice que estas compuertas ligeras no mejoran de forma consistente bajo este protocolo.</w:t>
      </w:r>
    </w:p>
    <w:p>
      <w:pPr>
        <w:pStyle w:val="Heading1"/>
        <w:spacing w:before="200" w:after="60"/>
      </w:pPr>
      <w:r>
        <w:t>Diapositiva 12 · La diferencia está en la estabilidad entre semillas</w:t>
      </w:r>
    </w:p>
    <w:p>
      <w:pPr>
        <w:spacing w:after="60"/>
      </w:pPr>
      <w:r>
        <w:rPr>
          <w:b/>
          <w:color w:val="E64F12"/>
        </w:rPr>
        <w:t>Tiempo orientativo: 1:15</w:t>
      </w:r>
    </w:p>
    <w:p>
      <w:pPr>
        <w:pStyle w:val="ListBullet"/>
        <w:spacing w:after="40"/>
      </w:pPr>
      <w:r>
        <w:t>Leer por filas: las variantes estables están en torno a 0,70 en las tres semillas.</w:t>
      </w:r>
    </w:p>
    <w:p>
      <w:pPr>
        <w:pStyle w:val="ListBullet"/>
        <w:spacing w:after="40"/>
      </w:pPr>
      <w:r>
        <w:t>Cada compuerta tiene dos ejecuciones competitivas y una caída a aproximadamente 0,35.</w:t>
      </w:r>
    </w:p>
    <w:p>
      <w:pPr>
        <w:pStyle w:val="ListBullet"/>
        <w:spacing w:after="40"/>
      </w:pPr>
      <w:r>
        <w:t>Ser prudente con el diagnóstico de pesos: fue exploratorio, sobre volúmenes completos y puntos de control preliminares.</w:t>
      </w:r>
    </w:p>
    <w:p>
      <w:pPr>
        <w:pStyle w:val="Heading1"/>
        <w:spacing w:before="200" w:after="60"/>
      </w:pPr>
      <w:r>
        <w:t>Diapositiva 13 · Corte axial: comparación cualitativa de las segmentaciones</w:t>
      </w:r>
    </w:p>
    <w:p>
      <w:pPr>
        <w:spacing w:after="60"/>
      </w:pPr>
      <w:r>
        <w:rPr>
          <w:b/>
          <w:color w:val="E64F12"/>
        </w:rPr>
        <w:t>Tiempo orientativo: 1:10</w:t>
      </w:r>
    </w:p>
    <w:p>
      <w:pPr>
        <w:pStyle w:val="ListBullet"/>
        <w:spacing w:after="40"/>
      </w:pPr>
      <w:r>
        <w:t>Señalar primero la referencia manual y explicar los colores: ET en rojo, TC en naranja y WT en amarillo.</w:t>
      </w:r>
    </w:p>
    <w:p>
      <w:pPr>
        <w:pStyle w:val="ListBullet"/>
        <w:spacing w:after="40"/>
      </w:pPr>
      <w:r>
        <w:t>Recorrer las predicciones de izquierda a derecha sin convertir un único caso en evidencia general.</w:t>
      </w:r>
    </w:p>
    <w:p>
      <w:pPr>
        <w:pStyle w:val="ListBullet"/>
        <w:spacing w:after="40"/>
      </w:pPr>
      <w:r>
        <w:t>La imagen permite ver que las métricas agregadas esconden diferencias locales en los límites y en la estructura interna del tumor.</w:t>
      </w:r>
    </w:p>
    <w:p>
      <w:pPr>
        <w:pStyle w:val="Heading1"/>
        <w:spacing w:before="200" w:after="60"/>
      </w:pPr>
      <w:r>
        <w:t>Diapositiva 14 · Corte axial: ejemplo de una ejecución adaptativa de bajo rendimiento</w:t>
      </w:r>
    </w:p>
    <w:p>
      <w:pPr>
        <w:spacing w:after="60"/>
      </w:pPr>
      <w:r>
        <w:rPr>
          <w:b/>
          <w:color w:val="E64F12"/>
        </w:rPr>
        <w:t>Tiempo orientativo: 1:00</w:t>
      </w:r>
    </w:p>
    <w:p>
      <w:pPr>
        <w:pStyle w:val="ListBullet"/>
        <w:spacing w:after="40"/>
      </w:pPr>
      <w:r>
        <w:t>Comparar la referencia con la concatenación: la extensión principal y la distribución interna son visualmente próximas.</w:t>
      </w:r>
    </w:p>
    <w:p>
      <w:pPr>
        <w:pStyle w:val="ListBullet"/>
        <w:spacing w:after="40"/>
      </w:pPr>
      <w:r>
        <w:t>Después señalar la región roja sobredimensionada de la compuerta adaptativa en su ejecución débil.</w:t>
      </w:r>
    </w:p>
    <w:p>
      <w:pPr>
        <w:pStyle w:val="ListBullet"/>
        <w:spacing w:after="40"/>
      </w:pPr>
      <w:r>
        <w:t>Aclarar que esta figura ilustra el tipo de error de esa corrida concreta; la conclusión procede del análisis multisemilla.</w:t>
      </w:r>
    </w:p>
    <w:p>
      <w:pPr>
        <w:pStyle w:val="Heading1"/>
        <w:spacing w:before="200" w:after="60"/>
      </w:pPr>
      <w:r>
        <w:t>Diapositiva 15 · Contexto arquitectónico: hay margen más allá de la fusión temprana</w:t>
      </w:r>
    </w:p>
    <w:p>
      <w:pPr>
        <w:spacing w:after="60"/>
      </w:pPr>
      <w:r>
        <w:rPr>
          <w:b/>
          <w:color w:val="E64F12"/>
        </w:rPr>
        <w:t>Tiempo orientativo: 1:20</w:t>
      </w:r>
    </w:p>
    <w:p>
      <w:pPr>
        <w:pStyle w:val="ListBullet"/>
        <w:spacing w:after="40"/>
      </w:pPr>
      <w:r>
        <w:t>Presentar esta ordenación como contexto, no como comparación causal de arquitecturas.</w:t>
      </w:r>
    </w:p>
    <w:p>
      <w:pPr>
        <w:pStyle w:val="ListBullet"/>
        <w:spacing w:after="40"/>
      </w:pPr>
      <w:r>
        <w:t>nnU-Net alcanza 0,829 con su pipeline auto-configurado y una única ejecución.</w:t>
      </w:r>
    </w:p>
    <w:p>
      <w:pPr>
        <w:pStyle w:val="ListBullet"/>
        <w:spacing w:after="40"/>
      </w:pPr>
      <w:r>
        <w:t>Swin-UNETR es el mejor modelo MONAI, con 0,752, y da soporte a la dimensión Transformer-UNet del título.</w:t>
      </w:r>
    </w:p>
    <w:p>
      <w:pPr>
        <w:pStyle w:val="ListBullet"/>
        <w:spacing w:after="40"/>
      </w:pPr>
      <w:r>
        <w:t>La brecha sugiere que optimización, capacidad y pipeline importan más que añadir una regla ligera de fusión temprana.</w:t>
      </w:r>
    </w:p>
    <w:p>
      <w:pPr>
        <w:pStyle w:val="Heading1"/>
        <w:spacing w:before="200" w:after="60"/>
      </w:pPr>
      <w:r>
        <w:t>Diapositiva 16 · Ligereza paramétrica y trazabilidad experimental</w:t>
      </w:r>
    </w:p>
    <w:p>
      <w:pPr>
        <w:spacing w:after="60"/>
      </w:pPr>
      <w:r>
        <w:rPr>
          <w:b/>
          <w:color w:val="E64F12"/>
        </w:rPr>
        <w:t>Tiempo orientativo: 1:00</w:t>
      </w:r>
    </w:p>
    <w:p>
      <w:pPr>
        <w:pStyle w:val="ListBullet"/>
        <w:spacing w:after="40"/>
      </w:pPr>
      <w:r>
        <w:t>Separar ligereza paramétrica de eficiencia completa: el número de parámetros sí está cuantificado; memoria e inferencia no de forma homogénea.</w:t>
      </w:r>
    </w:p>
    <w:p>
      <w:pPr>
        <w:pStyle w:val="ListBullet"/>
        <w:spacing w:after="40"/>
      </w:pPr>
      <w:r>
        <w:t>Los tiempos de pared incorporan I/O y validación, por lo que no son un microbenchmark del bloque.</w:t>
      </w:r>
    </w:p>
    <w:p>
      <w:pPr>
        <w:pStyle w:val="ListBullet"/>
        <w:spacing w:after="40"/>
      </w:pPr>
      <w:r>
        <w:t>La contribución reproducible incluye el pipeline, las particiones, las configuraciones y los artefactos finales.</w:t>
      </w:r>
    </w:p>
    <w:p>
      <w:pPr>
        <w:pStyle w:val="Heading1"/>
        <w:spacing w:before="200" w:after="60"/>
      </w:pPr>
      <w:r>
        <w:t>Diapositiva 17 · Conclusión, límites y siguiente paso</w:t>
      </w:r>
    </w:p>
    <w:p>
      <w:pPr>
        <w:spacing w:after="60"/>
      </w:pPr>
      <w:r>
        <w:rPr>
          <w:b/>
          <w:color w:val="E64F12"/>
        </w:rPr>
        <w:t>Tiempo orientativo: 1:30</w:t>
      </w:r>
    </w:p>
    <w:p>
      <w:pPr>
        <w:pStyle w:val="ListBullet"/>
        <w:spacing w:after="40"/>
      </w:pPr>
      <w:r>
        <w:t>Responder con precisión: no bajo estas configuraciones, semillas, presupuesto y partición.</w:t>
      </w:r>
    </w:p>
    <w:p>
      <w:pPr>
        <w:pStyle w:val="ListBullet"/>
        <w:spacing w:after="40"/>
      </w:pPr>
      <w:r>
        <w:t>La ponderación global no aporta mejora; las compuertas adaptativas presentan inestabilidad.</w:t>
      </w:r>
    </w:p>
    <w:p>
      <w:pPr>
        <w:pStyle w:val="ListBullet"/>
        <w:spacing w:after="40"/>
      </w:pPr>
      <w:r>
        <w:t>Cerrar con el valor metodológico: repetir cambió la interpretación de una aparente mejora en una semilla.</w:t>
      </w:r>
    </w:p>
    <w:p>
      <w:pPr>
        <w:pStyle w:val="ListBullet"/>
        <w:spacing w:after="40"/>
      </w:pPr>
      <w:r>
        <w:t>Proponer como prioridad futura un split por paciente y validación externa antes de aumentar la complejidad del mecanismo.</w:t>
      </w:r>
    </w:p>
    <w:p>
      <w:pPr>
        <w:pStyle w:val="Heading1"/>
        <w:spacing w:before="200" w:after="60"/>
      </w:pPr>
      <w:r>
        <w:t>Diapositiva 18 · Gracias</w:t>
      </w:r>
    </w:p>
    <w:p>
      <w:pPr>
        <w:spacing w:after="60"/>
      </w:pPr>
      <w:r>
        <w:rPr>
          <w:b/>
          <w:color w:val="E64F12"/>
        </w:rPr>
        <w:t>Tiempo orientativo: 0:20</w:t>
      </w:r>
    </w:p>
    <w:p>
      <w:pPr>
        <w:pStyle w:val="ListBullet"/>
        <w:spacing w:after="40"/>
      </w:pPr>
      <w:r>
        <w:t>Finalizar y dejar visible la síntesis numérica durante las preguntas.</w:t>
      </w:r>
    </w:p>
    <w:p>
      <w:pPr>
        <w:pStyle w:val="ListBullet"/>
        <w:spacing w:after="40"/>
      </w:pPr>
      <w:r>
        <w:t>Tener preparados los matices sobre split por paciente, métricas, nnU-Net y diagnóstico de la compuerta.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E64F1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