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intelligence2.xml" ContentType="application/vnd.ms-office.intelligence2+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6358" w:rsidRDefault="00A973DB" w14:paraId="31A5E436" w14:textId="77777777">
      <w:pPr>
        <w:rPr>
          <w:b/>
          <w:sz w:val="52"/>
        </w:rPr>
      </w:pPr>
      <w:r>
        <w:rPr>
          <w:b/>
          <w:noProof/>
          <w:sz w:val="52"/>
        </w:rPr>
        <w:drawing>
          <wp:anchor distT="0" distB="0" distL="0" distR="0" simplePos="0" relativeHeight="43" behindDoc="1" locked="0" layoutInCell="1" allowOverlap="1" wp14:anchorId="4116A782" wp14:editId="1D250337">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a:stretch>
                      <a:fillRect/>
                    </a:stretch>
                  </pic:blipFill>
                  <pic:spPr bwMode="auto">
                    <a:xfrm>
                      <a:off x="0" y="0"/>
                      <a:ext cx="7555865" cy="10692130"/>
                    </a:xfrm>
                    <a:prstGeom prst="rect">
                      <a:avLst/>
                    </a:prstGeom>
                  </pic:spPr>
                </pic:pic>
              </a:graphicData>
            </a:graphic>
          </wp:anchor>
        </w:drawing>
      </w:r>
    </w:p>
    <w:p w:rsidR="00906358" w:rsidP="06910F8B" w:rsidRDefault="00A973DB" w14:paraId="4430C6F4" w14:textId="77777777">
      <w:pPr>
        <w:jc w:val="both"/>
        <w:rPr>
          <w:b w:val="1"/>
          <w:bCs w:val="1"/>
          <w:sz w:val="52"/>
          <w:szCs w:val="52"/>
        </w:rPr>
      </w:pPr>
      <w:commentRangeStart w:id="0"/>
      <w:r w:rsidRPr="06910F8B" w:rsidR="3D8C7159">
        <w:rPr>
          <w:rFonts w:eastAsia="Arial"/>
          <w:b w:val="1"/>
          <w:bCs w:val="1"/>
          <w:sz w:val="48"/>
          <w:szCs w:val="48"/>
        </w:rPr>
        <w:t>Segmentación de tumores cerebrales en resonancia magnética multimodal mediante arquitecturas Transformer-UNet híbridas</w:t>
      </w:r>
      <w:commentRangeEnd w:id="0"/>
      <w:r>
        <w:rPr>
          <w:rStyle w:val="CommentReference"/>
        </w:rPr>
        <w:commentReference w:id="0"/>
      </w:r>
    </w:p>
    <w:p w:rsidR="00906358" w:rsidRDefault="00906358" w14:paraId="1E4D6897" w14:textId="77777777"/>
    <w:p w:rsidR="00906358" w:rsidRDefault="00906358" w14:paraId="1AB23C8E" w14:textId="77777777"/>
    <w:p w:rsidR="00906358" w:rsidRDefault="00906358" w14:paraId="42C9C2F1" w14:textId="77777777"/>
    <w:p w:rsidR="00906358" w:rsidRDefault="00906358" w14:paraId="51486999" w14:textId="77777777"/>
    <w:p w:rsidR="06910F8B" w:rsidP="06910F8B" w:rsidRDefault="06910F8B" w14:paraId="695C226A" w14:textId="717708DF">
      <w:pPr>
        <w:pStyle w:val="Piedepgina"/>
        <w:rPr>
          <w:color w:val="FFFFFF" w:themeColor="background1" w:themeTint="FF" w:themeShade="FF"/>
          <w:sz w:val="20"/>
          <w:szCs w:val="20"/>
        </w:rPr>
      </w:pPr>
    </w:p>
    <w:p w:rsidR="06910F8B" w:rsidP="06910F8B" w:rsidRDefault="06910F8B" w14:paraId="2F84755B" w14:textId="7DAEAD94">
      <w:pPr>
        <w:pStyle w:val="Piedepgina"/>
        <w:rPr>
          <w:color w:val="FFFFFF" w:themeColor="background1" w:themeTint="FF" w:themeShade="FF"/>
          <w:sz w:val="20"/>
          <w:szCs w:val="20"/>
        </w:rPr>
      </w:pPr>
    </w:p>
    <w:p w:rsidR="06910F8B" w:rsidP="06910F8B" w:rsidRDefault="06910F8B" w14:paraId="2B2AD828" w14:textId="16D324A3">
      <w:pPr>
        <w:pStyle w:val="Piedepgina"/>
        <w:rPr>
          <w:color w:val="FFFFFF" w:themeColor="background1" w:themeTint="FF" w:themeShade="FF"/>
          <w:sz w:val="20"/>
          <w:szCs w:val="20"/>
        </w:rPr>
      </w:pPr>
    </w:p>
    <w:p w:rsidR="00906358" w:rsidRDefault="00906358" w14:paraId="6207E873" w14:textId="5EDFFC61">
      <w:pPr>
        <w:pStyle w:val="Piedepgina"/>
      </w:pPr>
      <w:commentRangeStart w:id="1"/>
      <w:r w:rsidRPr="06910F8B" w:rsidR="542C2D59">
        <w:rPr>
          <w:color w:val="FFFFFF" w:themeColor="background1" w:themeTint="FF" w:themeShade="FF"/>
          <w:sz w:val="20"/>
          <w:szCs w:val="20"/>
        </w:rPr>
        <w:t>Fecha:</w:t>
      </w:r>
      <w:r>
        <w:br/>
      </w:r>
      <w:r w:rsidRPr="06910F8B" w:rsidR="64255738">
        <w:rPr>
          <w:color w:val="FFFFFF" w:themeColor="background1" w:themeTint="FF" w:themeShade="FF"/>
          <w:sz w:val="20"/>
          <w:szCs w:val="20"/>
        </w:rPr>
        <w:t>OCTUBRE-26</w:t>
      </w:r>
      <w:commentRangeEnd w:id="1"/>
      <w:r>
        <w:rPr>
          <w:rStyle w:val="CommentReference"/>
        </w:rPr>
        <w:commentReference w:id="1"/>
      </w:r>
    </w:p>
    <w:p w:rsidR="00906358" w:rsidRDefault="00906358" w14:paraId="646D63C2" w14:textId="77777777">
      <w:pPr>
        <w:pStyle w:val="Piedepgina"/>
        <w:rPr>
          <w:color w:val="FFFFFF" w:themeColor="background1"/>
          <w:sz w:val="20"/>
          <w:szCs w:val="20"/>
        </w:rPr>
      </w:pPr>
    </w:p>
    <w:p w:rsidR="06910F8B" w:rsidP="06910F8B" w:rsidRDefault="06910F8B" w14:paraId="708E3982" w14:textId="194FE8E1">
      <w:pPr>
        <w:pStyle w:val="Piedepgina"/>
        <w:rPr>
          <w:color w:val="FFFFFF" w:themeColor="background1" w:themeTint="FF" w:themeShade="FF"/>
          <w:sz w:val="20"/>
          <w:szCs w:val="20"/>
        </w:rPr>
      </w:pPr>
    </w:p>
    <w:p w:rsidR="06910F8B" w:rsidP="06910F8B" w:rsidRDefault="06910F8B" w14:paraId="7D70BD95" w14:textId="773E003C">
      <w:pPr>
        <w:pStyle w:val="Piedepgina"/>
        <w:rPr>
          <w:color w:val="FFFFFF" w:themeColor="background1" w:themeTint="FF" w:themeShade="FF"/>
          <w:sz w:val="20"/>
          <w:szCs w:val="20"/>
        </w:rPr>
      </w:pPr>
    </w:p>
    <w:p w:rsidR="06910F8B" w:rsidP="06910F8B" w:rsidRDefault="06910F8B" w14:paraId="2C1E26E8" w14:textId="6B8050C3">
      <w:pPr>
        <w:pStyle w:val="Piedepgina"/>
        <w:rPr>
          <w:color w:val="FFFFFF" w:themeColor="background1" w:themeTint="FF" w:themeShade="FF"/>
          <w:sz w:val="20"/>
          <w:szCs w:val="20"/>
        </w:rPr>
      </w:pPr>
    </w:p>
    <w:p w:rsidR="06910F8B" w:rsidP="06910F8B" w:rsidRDefault="06910F8B" w14:paraId="728A7DDB" w14:textId="487C8C91">
      <w:pPr>
        <w:pStyle w:val="Piedepgina"/>
        <w:rPr>
          <w:color w:val="FFFFFF" w:themeColor="background1" w:themeTint="FF" w:themeShade="FF"/>
          <w:sz w:val="20"/>
          <w:szCs w:val="20"/>
        </w:rPr>
      </w:pPr>
    </w:p>
    <w:p w:rsidR="06910F8B" w:rsidP="06910F8B" w:rsidRDefault="06910F8B" w14:paraId="74EE646E" w14:textId="6F57E64E">
      <w:pPr>
        <w:pStyle w:val="Piedepgina"/>
        <w:rPr>
          <w:color w:val="FFFFFF" w:themeColor="background1" w:themeTint="FF" w:themeShade="FF"/>
          <w:sz w:val="20"/>
          <w:szCs w:val="20"/>
        </w:rPr>
      </w:pPr>
    </w:p>
    <w:p w:rsidR="06910F8B" w:rsidP="06910F8B" w:rsidRDefault="06910F8B" w14:paraId="79A35EF5" w14:textId="2085BFC7">
      <w:pPr>
        <w:pStyle w:val="Piedepgina"/>
        <w:rPr>
          <w:color w:val="FFFFFF" w:themeColor="background1" w:themeTint="FF" w:themeShade="FF"/>
          <w:sz w:val="20"/>
          <w:szCs w:val="20"/>
        </w:rPr>
      </w:pPr>
    </w:p>
    <w:p w:rsidR="06910F8B" w:rsidP="06910F8B" w:rsidRDefault="06910F8B" w14:paraId="4E18ED5F" w14:textId="27CB923A">
      <w:pPr>
        <w:pStyle w:val="Piedepgina"/>
        <w:rPr>
          <w:color w:val="FFFFFF" w:themeColor="background1" w:themeTint="FF" w:themeShade="FF"/>
          <w:sz w:val="20"/>
          <w:szCs w:val="20"/>
        </w:rPr>
      </w:pPr>
    </w:p>
    <w:p w:rsidR="06910F8B" w:rsidP="06910F8B" w:rsidRDefault="06910F8B" w14:paraId="283DE2CC" w14:textId="32F1600A">
      <w:pPr>
        <w:pStyle w:val="Piedepgina"/>
        <w:rPr>
          <w:color w:val="FFFFFF" w:themeColor="background1" w:themeTint="FF" w:themeShade="FF"/>
          <w:sz w:val="20"/>
          <w:szCs w:val="20"/>
        </w:rPr>
      </w:pPr>
    </w:p>
    <w:p w:rsidR="06910F8B" w:rsidP="06910F8B" w:rsidRDefault="06910F8B" w14:paraId="01687533" w14:textId="0BCEA886">
      <w:pPr>
        <w:pStyle w:val="Piedepgina"/>
        <w:rPr>
          <w:color w:val="FFFFFF" w:themeColor="background1" w:themeTint="FF" w:themeShade="FF"/>
          <w:sz w:val="20"/>
          <w:szCs w:val="20"/>
        </w:rPr>
      </w:pPr>
    </w:p>
    <w:p w:rsidR="06910F8B" w:rsidP="06910F8B" w:rsidRDefault="06910F8B" w14:paraId="283B3AD0" w14:textId="40F75005">
      <w:pPr>
        <w:pStyle w:val="Piedepgina"/>
        <w:rPr>
          <w:color w:val="FFFFFF" w:themeColor="background1" w:themeTint="FF" w:themeShade="FF"/>
          <w:sz w:val="20"/>
          <w:szCs w:val="20"/>
        </w:rPr>
      </w:pPr>
    </w:p>
    <w:p w:rsidR="06910F8B" w:rsidP="06910F8B" w:rsidRDefault="06910F8B" w14:paraId="3DF80009" w14:textId="12ED9A10">
      <w:pPr>
        <w:pStyle w:val="Piedepgina"/>
        <w:rPr>
          <w:color w:val="FFFFFF" w:themeColor="background1" w:themeTint="FF" w:themeShade="FF"/>
          <w:sz w:val="20"/>
          <w:szCs w:val="20"/>
        </w:rPr>
      </w:pPr>
    </w:p>
    <w:p w:rsidR="06910F8B" w:rsidP="06910F8B" w:rsidRDefault="06910F8B" w14:paraId="28958676" w14:textId="6FA8D7D6">
      <w:pPr>
        <w:pStyle w:val="Piedepgina"/>
        <w:rPr>
          <w:color w:val="FFFFFF" w:themeColor="background1" w:themeTint="FF" w:themeShade="FF"/>
          <w:sz w:val="20"/>
          <w:szCs w:val="20"/>
        </w:rPr>
      </w:pPr>
    </w:p>
    <w:p w:rsidR="06910F8B" w:rsidP="06910F8B" w:rsidRDefault="06910F8B" w14:paraId="66B93E49" w14:textId="50AFE08E">
      <w:pPr>
        <w:pStyle w:val="Piedepgina"/>
        <w:rPr>
          <w:color w:val="FFFFFF" w:themeColor="background1" w:themeTint="FF" w:themeShade="FF"/>
          <w:sz w:val="20"/>
          <w:szCs w:val="20"/>
        </w:rPr>
      </w:pPr>
    </w:p>
    <w:p w:rsidR="06910F8B" w:rsidP="06910F8B" w:rsidRDefault="06910F8B" w14:paraId="06C462DC" w14:textId="149B9F0B">
      <w:pPr>
        <w:pStyle w:val="Piedepgina"/>
        <w:rPr>
          <w:color w:val="FFFFFF" w:themeColor="background1" w:themeTint="FF" w:themeShade="FF"/>
          <w:sz w:val="20"/>
          <w:szCs w:val="20"/>
        </w:rPr>
      </w:pPr>
    </w:p>
    <w:p w:rsidR="06910F8B" w:rsidP="06910F8B" w:rsidRDefault="06910F8B" w14:paraId="21B0FB19" w14:textId="11F9AFDA">
      <w:pPr>
        <w:pStyle w:val="Piedepgina"/>
        <w:rPr>
          <w:color w:val="FFFFFF" w:themeColor="background1" w:themeTint="FF" w:themeShade="FF"/>
          <w:sz w:val="20"/>
          <w:szCs w:val="20"/>
        </w:rPr>
      </w:pPr>
    </w:p>
    <w:p w:rsidR="06910F8B" w:rsidP="06910F8B" w:rsidRDefault="06910F8B" w14:paraId="56663312" w14:textId="3540FB43">
      <w:pPr>
        <w:pStyle w:val="Piedepgina"/>
        <w:rPr>
          <w:color w:val="FFFFFF" w:themeColor="background1" w:themeTint="FF" w:themeShade="FF"/>
          <w:sz w:val="20"/>
          <w:szCs w:val="20"/>
        </w:rPr>
      </w:pPr>
    </w:p>
    <w:p w:rsidR="06910F8B" w:rsidP="06910F8B" w:rsidRDefault="06910F8B" w14:paraId="059B1F25" w14:textId="550B9A68">
      <w:pPr>
        <w:pStyle w:val="Piedepgina"/>
        <w:rPr>
          <w:color w:val="FFFFFF" w:themeColor="background1" w:themeTint="FF" w:themeShade="FF"/>
          <w:sz w:val="20"/>
          <w:szCs w:val="20"/>
        </w:rPr>
      </w:pPr>
    </w:p>
    <w:p w:rsidR="06910F8B" w:rsidP="06910F8B" w:rsidRDefault="06910F8B" w14:paraId="27D693F7" w14:textId="0A2F0023">
      <w:pPr>
        <w:pStyle w:val="Piedepgina"/>
        <w:rPr>
          <w:color w:val="FFFFFF" w:themeColor="background1" w:themeTint="FF" w:themeShade="FF"/>
          <w:sz w:val="20"/>
          <w:szCs w:val="20"/>
        </w:rPr>
      </w:pPr>
    </w:p>
    <w:p w:rsidR="06910F8B" w:rsidP="06910F8B" w:rsidRDefault="06910F8B" w14:paraId="5FD5F2DC" w14:textId="7CE2F556">
      <w:pPr>
        <w:pStyle w:val="Piedepgina"/>
        <w:rPr>
          <w:color w:val="FFFFFF" w:themeColor="background1" w:themeTint="FF" w:themeShade="FF"/>
          <w:sz w:val="20"/>
          <w:szCs w:val="20"/>
        </w:rPr>
      </w:pPr>
    </w:p>
    <w:p w:rsidR="00906358" w:rsidRDefault="00906358" w14:paraId="2F409EF7" w14:textId="77777777">
      <w:pPr>
        <w:pStyle w:val="Piedepgina"/>
        <w:rPr>
          <w:color w:val="FFFFFF" w:themeColor="background1"/>
          <w:sz w:val="20"/>
          <w:szCs w:val="20"/>
        </w:rPr>
      </w:pPr>
    </w:p>
    <w:p w:rsidR="00906358" w:rsidRDefault="00906358" w14:paraId="5D1F3050" w14:textId="77777777">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Pr="00ED5BE2" w:rsidR="00ED5BE2" w:rsidTr="06910F8B" w14:paraId="17FBB34F" w14:textId="77777777">
        <w:trPr>
          <w:trHeight w:val="2160"/>
        </w:trPr>
        <w:tc>
          <w:tcPr>
            <w:tcW w:w="3061" w:type="dxa"/>
            <w:tcBorders>
              <w:top w:val="nil"/>
              <w:left w:val="single" w:color="FFFFFF" w:themeColor="background1" w:sz="48" w:space="0"/>
              <w:bottom w:val="nil"/>
              <w:right w:val="single" w:color="FFFFFF" w:themeColor="background1" w:sz="48" w:space="0"/>
            </w:tcBorders>
            <w:shd w:val="clear" w:color="auto" w:fill="E65014"/>
            <w:tcMar/>
          </w:tcPr>
          <w:p w:rsidRPr="003424CA" w:rsidR="00ED5BE2" w:rsidP="00ED5BE2" w:rsidRDefault="00ED5BE2" w14:paraId="108D4AF3" w14:textId="77777777">
            <w:pPr>
              <w:rPr>
                <w:color w:val="FFFFFF" w:themeColor="background1"/>
              </w:rPr>
            </w:pPr>
            <w:r w:rsidRPr="06910F8B" w:rsidR="3CBB097C">
              <w:rPr>
                <w:rFonts w:eastAsia="Arial"/>
                <w:color w:val="FFFFFF" w:themeColor="background1" w:themeTint="FF" w:themeShade="FF"/>
                <w:sz w:val="19"/>
                <w:szCs w:val="19"/>
              </w:rPr>
              <w:t>Titulación:</w:t>
            </w:r>
          </w:p>
          <w:p w:rsidR="68CABE96" w:rsidP="06910F8B" w:rsidRDefault="68CABE96" w14:paraId="4EFCBCDB" w14:textId="2729AF12">
            <w:pPr>
              <w:rPr>
                <w:rFonts w:eastAsia="Arial"/>
                <w:b w:val="1"/>
                <w:bCs w:val="1"/>
                <w:color w:val="FFFFFF" w:themeColor="background1" w:themeTint="FF" w:themeShade="FF"/>
                <w:sz w:val="19"/>
                <w:szCs w:val="19"/>
              </w:rPr>
            </w:pPr>
            <w:r w:rsidRPr="06910F8B" w:rsidR="68CABE96">
              <w:rPr>
                <w:rFonts w:eastAsia="Arial"/>
                <w:b w:val="1"/>
                <w:bCs w:val="1"/>
                <w:color w:val="FFFFFF" w:themeColor="background1" w:themeTint="FF" w:themeShade="FF"/>
                <w:sz w:val="19"/>
                <w:szCs w:val="19"/>
              </w:rPr>
              <w:t>Máster Universitario en Big</w:t>
            </w:r>
          </w:p>
          <w:p w:rsidR="68CABE96" w:rsidP="06910F8B" w:rsidRDefault="68CABE96" w14:paraId="2B5BDE4F" w14:textId="61BC277E">
            <w:pPr>
              <w:pStyle w:val="Normal"/>
            </w:pPr>
            <w:r w:rsidRPr="06910F8B" w:rsidR="68CABE96">
              <w:rPr>
                <w:rFonts w:eastAsia="Arial"/>
                <w:b w:val="1"/>
                <w:bCs w:val="1"/>
                <w:color w:val="FFFFFF" w:themeColor="background1" w:themeTint="FF" w:themeShade="FF"/>
                <w:sz w:val="19"/>
                <w:szCs w:val="19"/>
              </w:rPr>
              <w:t>Data y Ciencia de Datos</w:t>
            </w:r>
          </w:p>
          <w:p w:rsidR="06910F8B" w:rsidP="06910F8B" w:rsidRDefault="06910F8B" w14:paraId="382E31B4" w14:textId="34382564">
            <w:pPr>
              <w:pStyle w:val="Normal"/>
              <w:rPr>
                <w:rFonts w:eastAsia="Arial"/>
                <w:b w:val="1"/>
                <w:bCs w:val="1"/>
                <w:color w:val="FFFFFF" w:themeColor="background1" w:themeTint="FF" w:themeShade="FF"/>
                <w:sz w:val="19"/>
                <w:szCs w:val="19"/>
              </w:rPr>
            </w:pPr>
          </w:p>
          <w:p w:rsidRPr="003424CA" w:rsidR="00ED5BE2" w:rsidP="00ED5BE2" w:rsidRDefault="00ED5BE2" w14:paraId="4E4D1957" w14:textId="77777777">
            <w:pPr>
              <w:rPr>
                <w:color w:val="FFFFFF" w:themeColor="background1"/>
              </w:rPr>
            </w:pPr>
            <w:r w:rsidRPr="06910F8B" w:rsidR="3CBB097C">
              <w:rPr>
                <w:rFonts w:eastAsia="Arial"/>
                <w:color w:val="FFFFFF" w:themeColor="background1" w:themeTint="FF" w:themeShade="FF"/>
                <w:sz w:val="19"/>
                <w:szCs w:val="19"/>
              </w:rPr>
              <w:t xml:space="preserve">Curso académico </w:t>
            </w:r>
          </w:p>
          <w:p w:rsidRPr="003424CA" w:rsidR="00ED5BE2" w:rsidP="06910F8B" w:rsidRDefault="00ED5BE2" w14:paraId="7ED2010F" w14:textId="27B09151">
            <w:pPr>
              <w:pStyle w:val="Normal"/>
              <w:suppressLineNumbers w:val="0"/>
              <w:bidi w:val="0"/>
              <w:spacing w:before="0" w:beforeAutospacing="off" w:after="200" w:afterAutospacing="off" w:line="276" w:lineRule="auto"/>
              <w:ind w:left="0" w:right="0"/>
              <w:jc w:val="both"/>
            </w:pPr>
            <w:r w:rsidRPr="06910F8B" w:rsidR="46491261">
              <w:rPr>
                <w:rFonts w:eastAsia="Arial"/>
                <w:color w:val="FFFFFF" w:themeColor="background1" w:themeTint="FF" w:themeShade="FF"/>
                <w:sz w:val="19"/>
                <w:szCs w:val="19"/>
              </w:rPr>
              <w:t>O</w:t>
            </w:r>
            <w:r w:rsidRPr="06910F8B" w:rsidR="46491261">
              <w:rPr>
                <w:rFonts w:eastAsia="Arial"/>
                <w:b w:val="1"/>
                <w:bCs w:val="1"/>
                <w:color w:val="FFFFFF" w:themeColor="background1" w:themeTint="FF" w:themeShade="FF"/>
                <w:sz w:val="19"/>
                <w:szCs w:val="19"/>
              </w:rPr>
              <w:t>CTUBRE 25</w:t>
            </w:r>
          </w:p>
        </w:tc>
        <w:tc>
          <w:tcPr>
            <w:tcW w:w="3293" w:type="dxa"/>
            <w:tcBorders>
              <w:top w:val="nil"/>
              <w:left w:val="single" w:color="FFFFFF" w:themeColor="background1" w:sz="48" w:space="0"/>
              <w:bottom w:val="nil"/>
              <w:right w:val="single" w:color="FFFFFF" w:themeColor="background1" w:sz="48" w:space="0"/>
            </w:tcBorders>
            <w:shd w:val="clear" w:color="auto" w:fill="E65014"/>
            <w:tcMar/>
          </w:tcPr>
          <w:p w:rsidR="003424CA" w:rsidP="00ED5BE2" w:rsidRDefault="00ED5BE2" w14:paraId="597F9036" w14:textId="77777777">
            <w:pPr>
              <w:rPr>
                <w:color w:val="FFFFFF" w:themeColor="background1"/>
              </w:rPr>
            </w:pPr>
            <w:r w:rsidRPr="06910F8B" w:rsidR="3CBB097C">
              <w:rPr>
                <w:rFonts w:eastAsia="Arial"/>
                <w:color w:val="FFFFFF" w:themeColor="background1" w:themeTint="FF" w:themeShade="FF"/>
                <w:sz w:val="19"/>
                <w:szCs w:val="19"/>
              </w:rPr>
              <w:t xml:space="preserve">Alumno/a: </w:t>
            </w:r>
          </w:p>
          <w:p w:rsidR="315A39C5" w:rsidP="06910F8B" w:rsidRDefault="315A39C5" w14:paraId="4E5E76B2" w14:textId="39F58455">
            <w:pPr>
              <w:pStyle w:val="Normal"/>
              <w:suppressLineNumbers w:val="0"/>
              <w:bidi w:val="0"/>
              <w:spacing w:before="0" w:beforeAutospacing="off" w:after="200" w:afterAutospacing="off" w:line="276" w:lineRule="auto"/>
              <w:ind w:left="0" w:right="0"/>
              <w:jc w:val="both"/>
              <w:rPr>
                <w:rFonts w:eastAsia="Arial"/>
                <w:b w:val="1"/>
                <w:bCs w:val="1"/>
                <w:color w:val="FFFFFF" w:themeColor="background1" w:themeTint="FF" w:themeShade="FF"/>
                <w:sz w:val="19"/>
                <w:szCs w:val="19"/>
              </w:rPr>
            </w:pPr>
            <w:r w:rsidRPr="06910F8B" w:rsidR="315A39C5">
              <w:rPr>
                <w:rFonts w:eastAsia="Arial"/>
                <w:b w:val="1"/>
                <w:bCs w:val="1"/>
                <w:color w:val="FFFFFF" w:themeColor="background1" w:themeTint="FF" w:themeShade="FF"/>
                <w:sz w:val="19"/>
                <w:szCs w:val="19"/>
              </w:rPr>
              <w:t>Jesús Ferrón Rubio</w:t>
            </w:r>
          </w:p>
          <w:p w:rsidR="06910F8B" w:rsidP="06910F8B" w:rsidRDefault="06910F8B" w14:paraId="5AF6EC57" w14:textId="6DECC58B">
            <w:pPr>
              <w:pStyle w:val="Normal"/>
              <w:suppressLineNumbers w:val="0"/>
              <w:bidi w:val="0"/>
              <w:spacing w:before="0" w:beforeAutospacing="off" w:after="200" w:afterAutospacing="off" w:line="276" w:lineRule="auto"/>
              <w:ind w:left="0" w:right="0"/>
              <w:jc w:val="both"/>
              <w:rPr>
                <w:rFonts w:eastAsia="Arial"/>
                <w:color w:val="FFFFFF" w:themeColor="background1" w:themeTint="FF" w:themeShade="FF"/>
                <w:sz w:val="19"/>
                <w:szCs w:val="19"/>
              </w:rPr>
            </w:pPr>
          </w:p>
          <w:p w:rsidRPr="003424CA" w:rsidR="00ED5BE2" w:rsidP="00ED5BE2" w:rsidRDefault="00ED5BE2" w14:paraId="73A10D03" w14:textId="628D6CFF">
            <w:pPr/>
            <w:r w:rsidRPr="06910F8B" w:rsidR="3CBB097C">
              <w:rPr>
                <w:rFonts w:eastAsia="Arial"/>
                <w:color w:val="FFFFFF" w:themeColor="background1" w:themeTint="FF" w:themeShade="FF"/>
                <w:sz w:val="19"/>
                <w:szCs w:val="19"/>
              </w:rPr>
              <w:t xml:space="preserve">D.N.I.: </w:t>
            </w:r>
            <w:r w:rsidRPr="06910F8B" w:rsidR="27E69D4B">
              <w:rPr>
                <w:rFonts w:eastAsia="Arial"/>
                <w:b w:val="1"/>
                <w:bCs w:val="1"/>
                <w:color w:val="FFFFFF" w:themeColor="background1" w:themeTint="FF" w:themeShade="FF"/>
                <w:sz w:val="19"/>
                <w:szCs w:val="19"/>
              </w:rPr>
              <w:t>05683844S</w:t>
            </w:r>
          </w:p>
          <w:p w:rsidR="06910F8B" w:rsidP="06910F8B" w:rsidRDefault="06910F8B" w14:paraId="3665220F" w14:textId="17D060BE">
            <w:pPr>
              <w:rPr>
                <w:rFonts w:eastAsia="Arial"/>
                <w:color w:val="FFFFFF" w:themeColor="background1" w:themeTint="FF" w:themeShade="FF"/>
                <w:sz w:val="19"/>
                <w:szCs w:val="19"/>
              </w:rPr>
            </w:pPr>
          </w:p>
          <w:p w:rsidRPr="003424CA" w:rsidR="00ED5BE2" w:rsidP="00ED5BE2" w:rsidRDefault="00ED5BE2" w14:paraId="2E778215" w14:textId="1E9D56C1">
            <w:pPr/>
            <w:r w:rsidRPr="06910F8B" w:rsidR="3CBB097C">
              <w:rPr>
                <w:rFonts w:eastAsia="Arial"/>
                <w:color w:val="FFFFFF" w:themeColor="background1" w:themeTint="FF" w:themeShade="FF"/>
                <w:sz w:val="19"/>
                <w:szCs w:val="19"/>
              </w:rPr>
              <w:t xml:space="preserve">Director/a de TFM: </w:t>
            </w:r>
          </w:p>
          <w:p w:rsidRPr="003424CA" w:rsidR="00ED5BE2" w:rsidP="06910F8B" w:rsidRDefault="00ED5BE2" w14:paraId="047D2B19" w14:textId="706052F3">
            <w:pPr>
              <w:rPr>
                <w:rFonts w:eastAsia="Arial"/>
                <w:b w:val="1"/>
                <w:bCs w:val="1"/>
                <w:color w:val="FFFFFF" w:themeColor="background1"/>
                <w:sz w:val="19"/>
                <w:szCs w:val="19"/>
              </w:rPr>
            </w:pPr>
            <w:r w:rsidRPr="06910F8B" w:rsidR="630C1159">
              <w:rPr>
                <w:rFonts w:eastAsia="Arial"/>
                <w:b w:val="1"/>
                <w:bCs w:val="1"/>
                <w:color w:val="FFFFFF" w:themeColor="background1" w:themeTint="FF" w:themeShade="FF"/>
                <w:sz w:val="19"/>
                <w:szCs w:val="19"/>
              </w:rPr>
              <w:t xml:space="preserve">Cardinale Villarreal, Yudith </w:t>
            </w:r>
            <w:r w:rsidRPr="06910F8B" w:rsidR="630C1159">
              <w:rPr>
                <w:rFonts w:eastAsia="Arial"/>
                <w:b w:val="1"/>
                <w:bCs w:val="1"/>
                <w:color w:val="FFFFFF" w:themeColor="background1" w:themeTint="FF" w:themeShade="FF"/>
                <w:sz w:val="19"/>
                <w:szCs w:val="19"/>
              </w:rPr>
              <w:t>Coromoto</w:t>
            </w:r>
          </w:p>
        </w:tc>
        <w:tc>
          <w:tcPr>
            <w:tcW w:w="3065" w:type="dxa"/>
            <w:tcBorders>
              <w:top w:val="nil"/>
              <w:left w:val="single" w:color="FFFFFF" w:themeColor="background1" w:sz="48" w:space="0"/>
              <w:bottom w:val="nil"/>
              <w:right w:val="nil"/>
            </w:tcBorders>
            <w:shd w:val="clear" w:color="auto" w:fill="E65014"/>
            <w:tcMar/>
          </w:tcPr>
          <w:p w:rsidRPr="003424CA" w:rsidR="00ED5BE2" w:rsidP="00ED5BE2" w:rsidRDefault="00ED5BE2" w14:paraId="6460F461" w14:textId="54E044D5">
            <w:pPr>
              <w:rPr>
                <w:color w:val="FFFFFF" w:themeColor="background1"/>
              </w:rPr>
            </w:pPr>
            <w:r w:rsidRPr="06910F8B" w:rsidR="3CBB097C">
              <w:rPr>
                <w:rFonts w:eastAsia="Arial"/>
                <w:color w:val="FFFFFF" w:themeColor="background1" w:themeTint="FF" w:themeShade="FF"/>
                <w:sz w:val="19"/>
                <w:szCs w:val="19"/>
              </w:rPr>
              <w:t>Convocatoria:</w:t>
            </w:r>
          </w:p>
          <w:p w:rsidR="185AB1D3" w:rsidP="06910F8B" w:rsidRDefault="185AB1D3" w14:paraId="030FB877" w14:textId="35F309B8">
            <w:pPr>
              <w:pStyle w:val="Normal"/>
              <w:suppressLineNumbers w:val="0"/>
              <w:bidi w:val="0"/>
              <w:spacing w:before="0" w:beforeAutospacing="off" w:after="200" w:afterAutospacing="off" w:line="276" w:lineRule="auto"/>
              <w:ind w:left="0" w:right="0"/>
              <w:jc w:val="both"/>
            </w:pPr>
            <w:r w:rsidRPr="06910F8B" w:rsidR="185AB1D3">
              <w:rPr>
                <w:rFonts w:eastAsia="Arial"/>
                <w:color w:val="FFFFFF" w:themeColor="background1" w:themeTint="FF" w:themeShade="FF"/>
                <w:sz w:val="19"/>
                <w:szCs w:val="19"/>
              </w:rPr>
              <w:t>PRIMERA</w:t>
            </w:r>
          </w:p>
          <w:p w:rsidRPr="003424CA" w:rsidR="00ED5BE2" w:rsidP="00ED5BE2" w:rsidRDefault="00ED5BE2" w14:paraId="77767F39" w14:textId="77777777">
            <w:pPr>
              <w:rPr>
                <w:color w:val="FFFFFF" w:themeColor="background1"/>
              </w:rPr>
            </w:pPr>
          </w:p>
        </w:tc>
      </w:tr>
    </w:tbl>
    <w:p w:rsidR="00906358" w:rsidP="06910F8B" w:rsidRDefault="00906358" w14:paraId="4B7CC5D0" w14:textId="4D117D18">
      <w:pPr>
        <w:pStyle w:val="Normal"/>
        <w:rPr>
          <w:rFonts w:eastAsia="Arial"/>
          <w:sz w:val="20"/>
          <w:szCs w:val="20"/>
        </w:rPr>
        <w:sectPr w:rsidR="00906358">
          <w:pgSz w:w="11906" w:h="16838" w:orient="portrait"/>
          <w:pgMar w:top="708" w:right="1701" w:bottom="794" w:left="1701" w:header="0" w:footer="0" w:gutter="0"/>
          <w:pgNumType w:start="1"/>
          <w:cols w:space="720"/>
          <w:formProt w:val="0"/>
          <w:docGrid w:linePitch="360"/>
          <w:headerReference w:type="default" r:id="R1ca43e5aa9d74e8b"/>
          <w:headerReference w:type="even" r:id="R60b3f28a41e64a8f"/>
          <w:footerReference w:type="default" r:id="R974bbea84c934c1a"/>
          <w:footerReference w:type="even" r:id="Reacde8b01d3348db"/>
        </w:sectPr>
      </w:pPr>
    </w:p>
    <w:p w:rsidR="00914FAA" w:rsidRDefault="000E7DA8" w14:paraId="0CBDA1A5" w14:textId="77777777">
      <w:pPr>
        <w:pStyle w:val="Ttulo1"/>
      </w:pPr>
      <w:bookmarkStart w:name="_Toc1417241080" w:id="0"/>
      <w:bookmarkStart w:name="resumen" w:id="1"/>
      <w:r w:rsidR="6A5F4401">
        <w:rPr/>
        <w:t>Resumen</w:t>
      </w:r>
      <w:bookmarkEnd w:id="0"/>
    </w:p>
    <w:p w:rsidR="56A6F953" w:rsidRDefault="56A6F953" w14:paraId="63A9D20B" w14:textId="473FA2B2">
      <w:r w:rsidR="56A6F953">
        <w:rPr/>
        <w:t>La resonancia magnética permite observar los gliomas y medir su extensión. Para ello deben delimitarse las distintas zonas del tumor en imágenes tridimensionales, una tarea manual lenta y que requiere experiencia. Ningún tipo de imagen muestra por sí solo toda la lesión, por lo que suelen combinarse cuatro secuencias complementarias: T1, T1 con contraste, T2 y FLAIR. Este Trabajo de Fin de Máster estudia si ajustar automáticamente la importancia de cada secuencia mejora la segmentación frente a combinarlas directamente.</w:t>
      </w:r>
    </w:p>
    <w:p w:rsidR="56A6F953" w:rsidP="06910F8B" w:rsidRDefault="56A6F953" w14:paraId="2E3D612F" w14:textId="2BB4B0D3">
      <w:pPr>
        <w:pStyle w:val="Normal"/>
      </w:pPr>
      <w:commentRangeStart w:id="2"/>
      <w:r w:rsidR="56A6F953">
        <w:rPr/>
        <w:t>Con datos de BraTS-GLI 2024 se desarrolló un sistema experimental reproducible. Se compararon cuatro formas de combinar las imágenes manteniendo la misma red 3D, los mismos datos y el mismo entrenamiento: combinación directa, ponderación fija y dos métodos adaptativos. Cada opción se ejecutó tres veces. El rendimiento se midió principalmente con Dice, una puntuación entre 0 y 1 que indica cuánto coincide el resultado automático con la segmentación de referencia; cuanto mayor es el valor, mejor es la coincidencia.</w:t>
      </w:r>
      <w:commentRangeEnd w:id="2"/>
      <w:r>
        <w:rPr>
          <w:rStyle w:val="CommentReference"/>
        </w:rPr>
        <w:commentReference w:id="2"/>
      </w:r>
    </w:p>
    <w:p w:rsidR="56A6F953" w:rsidP="06910F8B" w:rsidRDefault="56A6F953" w14:paraId="40AA6314" w14:textId="47157257">
      <w:pPr>
        <w:pStyle w:val="Normal"/>
      </w:pPr>
      <w:r w:rsidR="56A6F953">
        <w:rPr/>
        <w:t>La combinación directa y la ponderación fija obtuvieron un Dice medio de 0,706. Los métodos adaptativos quedaron alrededor de 0,59 y fueron más variables, con una ejecución de bajo rendimiento en cada caso. Sus pesos apenas cambiaron entre estudios, por lo que no adaptaron de forma efectiva la combinación a cada entrada ni ofrecieron una mejora consistente. Otros modelos, incluido uno basado en Transformers, se evaluaron únicamente como referencia para situar este resultado en un contexto más amplio.</w:t>
      </w:r>
    </w:p>
    <w:p w:rsidR="56A6F953" w:rsidP="06910F8B" w:rsidRDefault="56A6F953" w14:paraId="09F4A2A8" w14:textId="57966F68">
      <w:pPr>
        <w:pStyle w:val="Normal"/>
      </w:pPr>
      <w:r w:rsidR="56A6F953">
        <w:rPr/>
        <w:t>Los datos se separaron por estudio de imagen y no por paciente, de modo que exploraciones de una misma persona pueden aparecer en conjuntos diferentes. El reparto permite comparar las estrategias entre sí, pero no medir de forma independiente el rendimiento en pacientes nuevos ni demostrar utilidad clínica. En las condiciones analizadas, la combinación directa fue la opción más sencilla y una de las más estables. Esta conclusión se limita a los métodos estudiados y no descarta otros diseños adaptativos.</w:t>
      </w:r>
    </w:p>
    <w:p w:rsidR="06910F8B" w:rsidP="06910F8B" w:rsidRDefault="06910F8B" w14:paraId="4F8EE0FA" w14:textId="6987535A">
      <w:pPr>
        <w:rPr>
          <w:b w:val="1"/>
          <w:bCs w:val="1"/>
        </w:rPr>
      </w:pPr>
    </w:p>
    <w:p w:rsidR="00914FAA" w:rsidRDefault="000E7DA8" w14:paraId="593DBB23" w14:textId="77777777">
      <w:r>
        <w:rPr>
          <w:b/>
          <w:bCs/>
        </w:rPr>
        <w:t>Palabras clave:</w:t>
      </w:r>
      <w:r>
        <w:t xml:space="preserve"> segmentación de gliomas; resonancia magnética multimodal; BraTS-GLI 2024; aprendizaje profundo; fusión adaptativa; MONAI; segmentación 3D.</w:t>
      </w:r>
    </w:p>
    <w:p w:rsidR="00914FAA" w:rsidRDefault="000E7DA8" w14:paraId="30410A67" w14:textId="77777777">
      <w:pPr>
        <w:pStyle w:val="Ttulo1"/>
        <w:pageBreakBefore/>
        <w:rPr>
          <w:lang w:val="en-US"/>
        </w:rPr>
      </w:pPr>
      <w:bookmarkStart w:name="_Toc705748265" w:id="2"/>
      <w:bookmarkStart w:name="abstract" w:id="3"/>
      <w:bookmarkEnd w:id="1"/>
      <w:r w:rsidRPr="06910F8B" w:rsidR="6A5F4401">
        <w:rPr>
          <w:lang w:val="en-US"/>
        </w:rPr>
        <w:t>Abstract</w:t>
      </w:r>
      <w:bookmarkEnd w:id="2"/>
    </w:p>
    <w:p w:rsidR="7F76C191" w:rsidRDefault="7F76C191" w14:paraId="048A58AE" w14:textId="082A4DB7">
      <w:r w:rsidRPr="06910F8B" w:rsidR="7F76C191">
        <w:rPr>
          <w:lang w:val="en-US"/>
        </w:rPr>
        <w:t>Magnetic resonance imaging makes it possible to observe gliomas and assess their extent. This requires delineating different tumour regions in three-dimensional images, a slow manual task that demands expertise. No single type of image shows the entire lesion, so four complementary MRI sequences are commonly combined: T1, contrast-enhanced T1, T2, and FLAIR. This Master’s Thesis examines whether automatically adjusting the importance of each sequence improves segmentation compared with combining them directly.</w:t>
      </w:r>
    </w:p>
    <w:p w:rsidR="7F76C191" w:rsidP="06910F8B" w:rsidRDefault="7F76C191" w14:paraId="493585FE" w14:textId="06B0049A">
      <w:pPr>
        <w:pStyle w:val="Normal"/>
      </w:pPr>
      <w:commentRangeStart w:id="3"/>
      <w:r w:rsidRPr="06910F8B" w:rsidR="7F76C191">
        <w:rPr>
          <w:lang w:val="en-US"/>
        </w:rPr>
        <w:t>A reproducible experimental system was developed using BraTS-GLI 2024 data. Four ways of combining the images were compared while keeping the same 3D network, data, and training: direct combination, fixed weighting, and two adaptive methods. Each option was run three times. Performance was measured mainly with Dice, a score between 0 and 1 that indicates how closely the automatic result matches the reference segmentation; a higher value means greater agreement.</w:t>
      </w:r>
      <w:commentRangeEnd w:id="3"/>
      <w:r>
        <w:rPr>
          <w:rStyle w:val="CommentReference"/>
        </w:rPr>
        <w:commentReference w:id="3"/>
      </w:r>
    </w:p>
    <w:p w:rsidR="7F76C191" w:rsidP="06910F8B" w:rsidRDefault="7F76C191" w14:paraId="46D881D3" w14:textId="3D977085">
      <w:pPr>
        <w:pStyle w:val="Normal"/>
      </w:pPr>
      <w:r w:rsidRPr="06910F8B" w:rsidR="7F76C191">
        <w:rPr>
          <w:lang w:val="en-US"/>
        </w:rPr>
        <w:t>Direct combination and fixed weighting both achieved a mean Dice score of 0.706. The adaptive methods scored around 0.59 and were more variable, with one low-performing run in each case. Their weights changed very little across studies, so they did not effectively adapt the combination to each input or provide a consistent improvement. Other models, including a Transformer-based model, were evaluated only as references to place this result in a broader context.</w:t>
      </w:r>
    </w:p>
    <w:p w:rsidR="7F76C191" w:rsidP="06910F8B" w:rsidRDefault="7F76C191" w14:paraId="7C171765" w14:textId="7625121E">
      <w:pPr>
        <w:pStyle w:val="Normal"/>
      </w:pPr>
      <w:r w:rsidRPr="06910F8B" w:rsidR="7F76C191">
        <w:rPr>
          <w:lang w:val="en-US"/>
        </w:rPr>
        <w:t>The data were split by imaging study rather than by patient, so scans from the same person may appear in different sets. This supports a comparison between the strategies, but it does not independently measure performance on new patients or demonstrate clinical usefulness. Under the evaluated conditions, direct combination was the simplest option and one of the most stable. This conclusion is limited to the methods studied and does not rule out other adaptive designs.</w:t>
      </w:r>
    </w:p>
    <w:p w:rsidR="06910F8B" w:rsidP="06910F8B" w:rsidRDefault="06910F8B" w14:paraId="4D6B2214" w14:textId="67AECDAD">
      <w:pPr>
        <w:rPr>
          <w:lang w:val="en-US"/>
        </w:rPr>
      </w:pPr>
    </w:p>
    <w:p w:rsidR="00914FAA" w:rsidRDefault="000E7DA8" w14:paraId="341593A7" w14:textId="77777777">
      <w:pPr>
        <w:rPr>
          <w:lang w:val="en-US"/>
        </w:rPr>
      </w:pPr>
      <w:r>
        <w:rPr>
          <w:b/>
          <w:bCs/>
          <w:lang w:val="en-US"/>
        </w:rPr>
        <w:t>Keywords:</w:t>
      </w:r>
      <w:r>
        <w:rPr>
          <w:lang w:val="en-US"/>
        </w:rPr>
        <w:t xml:space="preserve"> glioma segmentation; multimodal magnetic resonance imaging; BraTS-GLI 2024; deep learning; adaptive fusion; MONAI; 3D segmentation.</w:t>
      </w:r>
    </w:p>
    <w:p w:rsidR="00914FAA" w:rsidRDefault="000E7DA8" w14:paraId="3ACE40EA" w14:textId="77777777">
      <w:pPr>
        <w:pStyle w:val="TtuloTDC"/>
        <w:pageBreakBefore/>
        <w:spacing w:after="240"/>
      </w:pPr>
      <w:bookmarkStart w:name="_Toc993377625" w:id="4"/>
      <w:bookmarkStart w:name="introducción" w:id="5"/>
      <w:bookmarkEnd w:id="3"/>
      <w:r>
        <w:lastRenderedPageBreak/>
        <w:t>Índice general</w:t>
      </w:r>
      <w:bookmarkEnd w:id="4"/>
    </w:p>
    <w:p w:rsidR="00914FAA" w:rsidP="6E9E5ECF" w:rsidRDefault="6E9E5ECF" w14:paraId="159D2348" w14:textId="1B418A17">
      <w:pPr>
        <w:pStyle w:val="TDC1"/>
        <w:tabs>
          <w:tab w:val="right" w:leader="dot" w:pos="8490"/>
        </w:tabs>
      </w:pPr>
      <w:r>
        <w:fldChar w:fldCharType="begin"/>
      </w:r>
      <w:r w:rsidR="000E7DA8">
        <w:instrText>TOC \o "1-3" \z \u \h</w:instrText>
      </w:r>
      <w:r>
        <w:fldChar w:fldCharType="separate"/>
      </w:r>
      <w:hyperlink w:anchor="_Toc1417241080">
        <w:r w:rsidRPr="6E9E5ECF">
          <w:rPr>
            <w:rStyle w:val="Hipervnculo"/>
          </w:rPr>
          <w:t>Resumen</w:t>
        </w:r>
        <w:r w:rsidR="000E7DA8">
          <w:tab/>
        </w:r>
        <w:r w:rsidR="000E7DA8">
          <w:fldChar w:fldCharType="begin"/>
        </w:r>
        <w:r w:rsidR="000E7DA8">
          <w:instrText>PAGEREF _Toc1417241080 \h</w:instrText>
        </w:r>
        <w:r w:rsidR="000E7DA8">
          <w:fldChar w:fldCharType="separate"/>
        </w:r>
        <w:r w:rsidRPr="6E9E5ECF">
          <w:rPr>
            <w:rStyle w:val="Hipervnculo"/>
          </w:rPr>
          <w:t>2</w:t>
        </w:r>
        <w:r w:rsidR="000E7DA8">
          <w:fldChar w:fldCharType="end"/>
        </w:r>
      </w:hyperlink>
    </w:p>
    <w:p w:rsidR="6E9E5ECF" w:rsidP="6E9E5ECF" w:rsidRDefault="6E9E5ECF" w14:paraId="66F58DD7" w14:textId="2801B410">
      <w:pPr>
        <w:pStyle w:val="TDC1"/>
        <w:tabs>
          <w:tab w:val="right" w:leader="dot" w:pos="8490"/>
        </w:tabs>
      </w:pPr>
      <w:hyperlink w:anchor="_Toc705748265">
        <w:r w:rsidRPr="6E9E5ECF">
          <w:rPr>
            <w:rStyle w:val="Hipervnculo"/>
          </w:rPr>
          <w:t>Abstract</w:t>
        </w:r>
        <w:r>
          <w:tab/>
        </w:r>
        <w:r>
          <w:fldChar w:fldCharType="begin"/>
        </w:r>
        <w:r>
          <w:instrText>PAGEREF _Toc705748265 \h</w:instrText>
        </w:r>
        <w:r>
          <w:fldChar w:fldCharType="separate"/>
        </w:r>
        <w:r w:rsidRPr="6E9E5ECF">
          <w:rPr>
            <w:rStyle w:val="Hipervnculo"/>
          </w:rPr>
          <w:t>3</w:t>
        </w:r>
        <w:r>
          <w:fldChar w:fldCharType="end"/>
        </w:r>
      </w:hyperlink>
    </w:p>
    <w:p w:rsidR="6E9E5ECF" w:rsidP="6E9E5ECF" w:rsidRDefault="6E9E5ECF" w14:paraId="2F96950E" w14:textId="7EA4A613">
      <w:pPr>
        <w:pStyle w:val="TDC1"/>
        <w:tabs>
          <w:tab w:val="right" w:leader="dot" w:pos="8490"/>
        </w:tabs>
      </w:pPr>
      <w:hyperlink w:anchor="_Toc993377625">
        <w:r w:rsidRPr="6E9E5ECF">
          <w:rPr>
            <w:rStyle w:val="Hipervnculo"/>
          </w:rPr>
          <w:t>Índice general</w:t>
        </w:r>
        <w:r>
          <w:tab/>
        </w:r>
        <w:r>
          <w:fldChar w:fldCharType="begin"/>
        </w:r>
        <w:r>
          <w:instrText>PAGEREF _Toc993377625 \h</w:instrText>
        </w:r>
        <w:r>
          <w:fldChar w:fldCharType="separate"/>
        </w:r>
        <w:r w:rsidRPr="6E9E5ECF">
          <w:rPr>
            <w:rStyle w:val="Hipervnculo"/>
          </w:rPr>
          <w:t>4</w:t>
        </w:r>
        <w:r>
          <w:fldChar w:fldCharType="end"/>
        </w:r>
      </w:hyperlink>
    </w:p>
    <w:p w:rsidR="6E9E5ECF" w:rsidP="6E9E5ECF" w:rsidRDefault="6E9E5ECF" w14:paraId="3455F28D" w14:textId="3DB5D04B">
      <w:pPr>
        <w:pStyle w:val="TDC1"/>
        <w:tabs>
          <w:tab w:val="right" w:leader="dot" w:pos="8490"/>
        </w:tabs>
      </w:pPr>
      <w:hyperlink w:anchor="_Toc614631962">
        <w:r w:rsidRPr="6E9E5ECF">
          <w:rPr>
            <w:rStyle w:val="Hipervnculo"/>
          </w:rPr>
          <w:t>Índice de figuras</w:t>
        </w:r>
        <w:r>
          <w:tab/>
        </w:r>
        <w:r>
          <w:fldChar w:fldCharType="begin"/>
        </w:r>
        <w:r>
          <w:instrText>PAGEREF _Toc614631962 \h</w:instrText>
        </w:r>
        <w:r>
          <w:fldChar w:fldCharType="separate"/>
        </w:r>
        <w:r w:rsidRPr="6E9E5ECF">
          <w:rPr>
            <w:rStyle w:val="Hipervnculo"/>
          </w:rPr>
          <w:t>5</w:t>
        </w:r>
        <w:r>
          <w:fldChar w:fldCharType="end"/>
        </w:r>
      </w:hyperlink>
    </w:p>
    <w:p w:rsidR="6E9E5ECF" w:rsidP="6E9E5ECF" w:rsidRDefault="6E9E5ECF" w14:paraId="5029816A" w14:textId="6A483BD2">
      <w:pPr>
        <w:pStyle w:val="TDC1"/>
        <w:tabs>
          <w:tab w:val="right" w:leader="dot" w:pos="8490"/>
        </w:tabs>
      </w:pPr>
      <w:hyperlink w:anchor="_Toc1276951725">
        <w:r w:rsidRPr="6E9E5ECF">
          <w:rPr>
            <w:rStyle w:val="Hipervnculo"/>
          </w:rPr>
          <w:t>Índice de tablas</w:t>
        </w:r>
        <w:r>
          <w:tab/>
        </w:r>
        <w:r>
          <w:fldChar w:fldCharType="begin"/>
        </w:r>
        <w:r>
          <w:instrText>PAGEREF _Toc1276951725 \h</w:instrText>
        </w:r>
        <w:r>
          <w:fldChar w:fldCharType="separate"/>
        </w:r>
        <w:r w:rsidRPr="6E9E5ECF">
          <w:rPr>
            <w:rStyle w:val="Hipervnculo"/>
          </w:rPr>
          <w:t>6</w:t>
        </w:r>
        <w:r>
          <w:fldChar w:fldCharType="end"/>
        </w:r>
      </w:hyperlink>
    </w:p>
    <w:p w:rsidR="6E9E5ECF" w:rsidP="6E9E5ECF" w:rsidRDefault="6E9E5ECF" w14:paraId="06F80187" w14:textId="5F4BBEBE">
      <w:pPr>
        <w:pStyle w:val="TDC1"/>
        <w:tabs>
          <w:tab w:val="right" w:leader="dot" w:pos="8490"/>
        </w:tabs>
      </w:pPr>
      <w:hyperlink w:anchor="_Toc684908257">
        <w:r w:rsidRPr="6E9E5ECF">
          <w:rPr>
            <w:rStyle w:val="Hipervnculo"/>
          </w:rPr>
          <w:t>1. Introducción</w:t>
        </w:r>
        <w:r>
          <w:tab/>
        </w:r>
        <w:r>
          <w:fldChar w:fldCharType="begin"/>
        </w:r>
        <w:r>
          <w:instrText>PAGEREF _Toc684908257 \h</w:instrText>
        </w:r>
        <w:r>
          <w:fldChar w:fldCharType="separate"/>
        </w:r>
        <w:r w:rsidRPr="6E9E5ECF">
          <w:rPr>
            <w:rStyle w:val="Hipervnculo"/>
          </w:rPr>
          <w:t>7</w:t>
        </w:r>
        <w:r>
          <w:fldChar w:fldCharType="end"/>
        </w:r>
      </w:hyperlink>
    </w:p>
    <w:p w:rsidR="6E9E5ECF" w:rsidP="6E9E5ECF" w:rsidRDefault="6E9E5ECF" w14:paraId="6423187A" w14:textId="184547B2">
      <w:pPr>
        <w:pStyle w:val="TDC2"/>
        <w:tabs>
          <w:tab w:val="right" w:leader="dot" w:pos="8490"/>
        </w:tabs>
      </w:pPr>
      <w:hyperlink w:anchor="_Toc1663642842">
        <w:r w:rsidRPr="6E9E5ECF">
          <w:rPr>
            <w:rStyle w:val="Hipervnculo"/>
          </w:rPr>
          <w:t>1.1. Contexto y motivación</w:t>
        </w:r>
        <w:r>
          <w:tab/>
        </w:r>
        <w:r>
          <w:fldChar w:fldCharType="begin"/>
        </w:r>
        <w:r>
          <w:instrText>PAGEREF _Toc1663642842 \h</w:instrText>
        </w:r>
        <w:r>
          <w:fldChar w:fldCharType="separate"/>
        </w:r>
        <w:r w:rsidRPr="6E9E5ECF">
          <w:rPr>
            <w:rStyle w:val="Hipervnculo"/>
          </w:rPr>
          <w:t>8</w:t>
        </w:r>
        <w:r>
          <w:fldChar w:fldCharType="end"/>
        </w:r>
      </w:hyperlink>
    </w:p>
    <w:p w:rsidR="6E9E5ECF" w:rsidP="6E9E5ECF" w:rsidRDefault="6E9E5ECF" w14:paraId="0B41A19C" w14:textId="21AB0013">
      <w:pPr>
        <w:pStyle w:val="TDC2"/>
        <w:tabs>
          <w:tab w:val="right" w:leader="dot" w:pos="8490"/>
        </w:tabs>
      </w:pPr>
      <w:hyperlink w:anchor="_Toc1212778119">
        <w:r w:rsidRPr="6E9E5ECF">
          <w:rPr>
            <w:rStyle w:val="Hipervnculo"/>
          </w:rPr>
          <w:t>1.2. Planteamiento del problema</w:t>
        </w:r>
        <w:r>
          <w:tab/>
        </w:r>
        <w:r>
          <w:fldChar w:fldCharType="begin"/>
        </w:r>
        <w:r>
          <w:instrText>PAGEREF _Toc1212778119 \h</w:instrText>
        </w:r>
        <w:r>
          <w:fldChar w:fldCharType="separate"/>
        </w:r>
        <w:r w:rsidRPr="6E9E5ECF">
          <w:rPr>
            <w:rStyle w:val="Hipervnculo"/>
          </w:rPr>
          <w:t>9</w:t>
        </w:r>
        <w:r>
          <w:fldChar w:fldCharType="end"/>
        </w:r>
      </w:hyperlink>
    </w:p>
    <w:p w:rsidR="6E9E5ECF" w:rsidP="6E9E5ECF" w:rsidRDefault="6E9E5ECF" w14:paraId="0844611B" w14:textId="077FEB8D">
      <w:pPr>
        <w:pStyle w:val="TDC2"/>
        <w:tabs>
          <w:tab w:val="right" w:leader="dot" w:pos="8490"/>
        </w:tabs>
      </w:pPr>
      <w:hyperlink w:anchor="_Toc795110387">
        <w:r w:rsidRPr="6E9E5ECF">
          <w:rPr>
            <w:rStyle w:val="Hipervnculo"/>
          </w:rPr>
          <w:t>1.3. Objetivos</w:t>
        </w:r>
        <w:r>
          <w:tab/>
        </w:r>
        <w:r>
          <w:fldChar w:fldCharType="begin"/>
        </w:r>
        <w:r>
          <w:instrText>PAGEREF _Toc795110387 \h</w:instrText>
        </w:r>
        <w:r>
          <w:fldChar w:fldCharType="separate"/>
        </w:r>
        <w:r w:rsidRPr="6E9E5ECF">
          <w:rPr>
            <w:rStyle w:val="Hipervnculo"/>
          </w:rPr>
          <w:t>11</w:t>
        </w:r>
        <w:r>
          <w:fldChar w:fldCharType="end"/>
        </w:r>
      </w:hyperlink>
    </w:p>
    <w:p w:rsidR="6E9E5ECF" w:rsidP="6E9E5ECF" w:rsidRDefault="6E9E5ECF" w14:paraId="7E828B0C" w14:textId="43C984DB">
      <w:pPr>
        <w:pStyle w:val="TDC2"/>
        <w:tabs>
          <w:tab w:val="right" w:leader="dot" w:pos="8490"/>
        </w:tabs>
      </w:pPr>
      <w:hyperlink w:anchor="_Toc473990542">
        <w:r w:rsidRPr="6E9E5ECF">
          <w:rPr>
            <w:rStyle w:val="Hipervnculo"/>
          </w:rPr>
          <w:t>1.4. Organización del documento</w:t>
        </w:r>
        <w:r>
          <w:tab/>
        </w:r>
        <w:r>
          <w:fldChar w:fldCharType="begin"/>
        </w:r>
        <w:r>
          <w:instrText>PAGEREF _Toc473990542 \h</w:instrText>
        </w:r>
        <w:r>
          <w:fldChar w:fldCharType="separate"/>
        </w:r>
        <w:r w:rsidRPr="6E9E5ECF">
          <w:rPr>
            <w:rStyle w:val="Hipervnculo"/>
          </w:rPr>
          <w:t>11</w:t>
        </w:r>
        <w:r>
          <w:fldChar w:fldCharType="end"/>
        </w:r>
      </w:hyperlink>
    </w:p>
    <w:p w:rsidR="6E9E5ECF" w:rsidP="6E9E5ECF" w:rsidRDefault="6E9E5ECF" w14:paraId="6B46A180" w14:textId="176BD835">
      <w:pPr>
        <w:pStyle w:val="TDC1"/>
        <w:tabs>
          <w:tab w:val="right" w:leader="dot" w:pos="8490"/>
        </w:tabs>
      </w:pPr>
      <w:hyperlink w:anchor="_Toc2012357080">
        <w:r w:rsidRPr="6E9E5ECF">
          <w:rPr>
            <w:rStyle w:val="Hipervnculo"/>
          </w:rPr>
          <w:t>2. Marco teórico y estado del arte</w:t>
        </w:r>
        <w:r>
          <w:tab/>
        </w:r>
        <w:r>
          <w:fldChar w:fldCharType="begin"/>
        </w:r>
        <w:r>
          <w:instrText>PAGEREF _Toc2012357080 \h</w:instrText>
        </w:r>
        <w:r>
          <w:fldChar w:fldCharType="separate"/>
        </w:r>
        <w:r w:rsidRPr="6E9E5ECF">
          <w:rPr>
            <w:rStyle w:val="Hipervnculo"/>
          </w:rPr>
          <w:t>12</w:t>
        </w:r>
        <w:r>
          <w:fldChar w:fldCharType="end"/>
        </w:r>
      </w:hyperlink>
    </w:p>
    <w:p w:rsidR="6E9E5ECF" w:rsidP="6E9E5ECF" w:rsidRDefault="6E9E5ECF" w14:paraId="70B8FD2D" w14:textId="7A89420B">
      <w:pPr>
        <w:pStyle w:val="TDC2"/>
        <w:tabs>
          <w:tab w:val="right" w:leader="dot" w:pos="8490"/>
        </w:tabs>
      </w:pPr>
      <w:hyperlink w:anchor="_Toc783194407">
        <w:r w:rsidRPr="6E9E5ECF">
          <w:rPr>
            <w:rStyle w:val="Hipervnculo"/>
          </w:rPr>
          <w:t>2.1. De las redes completamente convolucionales a U-Net 3D</w:t>
        </w:r>
        <w:r>
          <w:tab/>
        </w:r>
        <w:r>
          <w:fldChar w:fldCharType="begin"/>
        </w:r>
        <w:r>
          <w:instrText>PAGEREF _Toc783194407 \h</w:instrText>
        </w:r>
        <w:r>
          <w:fldChar w:fldCharType="separate"/>
        </w:r>
        <w:r w:rsidRPr="6E9E5ECF">
          <w:rPr>
            <w:rStyle w:val="Hipervnculo"/>
          </w:rPr>
          <w:t>13</w:t>
        </w:r>
        <w:r>
          <w:fldChar w:fldCharType="end"/>
        </w:r>
      </w:hyperlink>
    </w:p>
    <w:p w:rsidR="6E9E5ECF" w:rsidP="6E9E5ECF" w:rsidRDefault="6E9E5ECF" w14:paraId="6A1C62EC" w14:textId="5B97DE71">
      <w:pPr>
        <w:pStyle w:val="TDC2"/>
        <w:tabs>
          <w:tab w:val="right" w:leader="dot" w:pos="8490"/>
        </w:tabs>
      </w:pPr>
      <w:hyperlink w:anchor="_Toc123723436">
        <w:r w:rsidRPr="6E9E5ECF">
          <w:rPr>
            <w:rStyle w:val="Hipervnculo"/>
          </w:rPr>
          <w:t>2.2. Refinamientos convolucionales: residuos, atención y auto-configuración</w:t>
        </w:r>
        <w:r>
          <w:tab/>
        </w:r>
        <w:r>
          <w:fldChar w:fldCharType="begin"/>
        </w:r>
        <w:r>
          <w:instrText>PAGEREF _Toc123723436 \h</w:instrText>
        </w:r>
        <w:r>
          <w:fldChar w:fldCharType="separate"/>
        </w:r>
        <w:r w:rsidRPr="6E9E5ECF">
          <w:rPr>
            <w:rStyle w:val="Hipervnculo"/>
          </w:rPr>
          <w:t>14</w:t>
        </w:r>
        <w:r>
          <w:fldChar w:fldCharType="end"/>
        </w:r>
      </w:hyperlink>
    </w:p>
    <w:p w:rsidR="6E9E5ECF" w:rsidP="6E9E5ECF" w:rsidRDefault="6E9E5ECF" w14:paraId="0F003487" w14:textId="2303955C">
      <w:pPr>
        <w:pStyle w:val="TDC3"/>
        <w:tabs>
          <w:tab w:val="right" w:leader="dot" w:pos="8490"/>
        </w:tabs>
      </w:pPr>
      <w:hyperlink w:anchor="_Toc747822558">
        <w:r w:rsidRPr="6E9E5ECF">
          <w:rPr>
            <w:rStyle w:val="Hipervnculo"/>
          </w:rPr>
          <w:t>2.2.1. Conexiones residuales</w:t>
        </w:r>
        <w:r>
          <w:tab/>
        </w:r>
        <w:r>
          <w:fldChar w:fldCharType="begin"/>
        </w:r>
        <w:r>
          <w:instrText>PAGEREF _Toc747822558 \h</w:instrText>
        </w:r>
        <w:r>
          <w:fldChar w:fldCharType="separate"/>
        </w:r>
        <w:r w:rsidRPr="6E9E5ECF">
          <w:rPr>
            <w:rStyle w:val="Hipervnculo"/>
          </w:rPr>
          <w:t>14</w:t>
        </w:r>
        <w:r>
          <w:fldChar w:fldCharType="end"/>
        </w:r>
      </w:hyperlink>
    </w:p>
    <w:p w:rsidR="6E9E5ECF" w:rsidP="6E9E5ECF" w:rsidRDefault="6E9E5ECF" w14:paraId="40CE6290" w14:textId="715DF1A1">
      <w:pPr>
        <w:pStyle w:val="TDC3"/>
        <w:tabs>
          <w:tab w:val="right" w:leader="dot" w:pos="8490"/>
        </w:tabs>
      </w:pPr>
      <w:hyperlink w:anchor="_Toc1664469222">
        <w:r w:rsidRPr="6E9E5ECF">
          <w:rPr>
            <w:rStyle w:val="Hipervnculo"/>
          </w:rPr>
          <w:t>2.2.2. Compuertas de atención</w:t>
        </w:r>
        <w:r>
          <w:tab/>
        </w:r>
        <w:r>
          <w:fldChar w:fldCharType="begin"/>
        </w:r>
        <w:r>
          <w:instrText>PAGEREF _Toc1664469222 \h</w:instrText>
        </w:r>
        <w:r>
          <w:fldChar w:fldCharType="separate"/>
        </w:r>
        <w:r w:rsidRPr="6E9E5ECF">
          <w:rPr>
            <w:rStyle w:val="Hipervnculo"/>
          </w:rPr>
          <w:t>14</w:t>
        </w:r>
        <w:r>
          <w:fldChar w:fldCharType="end"/>
        </w:r>
      </w:hyperlink>
    </w:p>
    <w:p w:rsidR="6E9E5ECF" w:rsidP="6E9E5ECF" w:rsidRDefault="6E9E5ECF" w14:paraId="34446E70" w14:textId="28367186">
      <w:pPr>
        <w:pStyle w:val="TDC3"/>
        <w:tabs>
          <w:tab w:val="right" w:leader="dot" w:pos="8490"/>
        </w:tabs>
      </w:pPr>
      <w:hyperlink w:anchor="_Toc2029602889">
        <w:r w:rsidRPr="6E9E5ECF">
          <w:rPr>
            <w:rStyle w:val="Hipervnculo"/>
          </w:rPr>
          <w:t>2.2.3. nnU-Net como pipeline auto-configurable</w:t>
        </w:r>
        <w:r>
          <w:tab/>
        </w:r>
        <w:r>
          <w:fldChar w:fldCharType="begin"/>
        </w:r>
        <w:r>
          <w:instrText>PAGEREF _Toc2029602889 \h</w:instrText>
        </w:r>
        <w:r>
          <w:fldChar w:fldCharType="separate"/>
        </w:r>
        <w:r w:rsidRPr="6E9E5ECF">
          <w:rPr>
            <w:rStyle w:val="Hipervnculo"/>
          </w:rPr>
          <w:t>15</w:t>
        </w:r>
        <w:r>
          <w:fldChar w:fldCharType="end"/>
        </w:r>
      </w:hyperlink>
    </w:p>
    <w:p w:rsidR="6E9E5ECF" w:rsidP="6E9E5ECF" w:rsidRDefault="6E9E5ECF" w14:paraId="7095F76F" w14:textId="0C478758">
      <w:pPr>
        <w:pStyle w:val="TDC2"/>
        <w:tabs>
          <w:tab w:val="right" w:leader="dot" w:pos="8490"/>
        </w:tabs>
      </w:pPr>
      <w:hyperlink w:anchor="_Toc712459553">
        <w:r w:rsidRPr="6E9E5ECF">
          <w:rPr>
            <w:rStyle w:val="Hipervnculo"/>
          </w:rPr>
          <w:t>2.3. Transformers y arquitecturas híbridas para segmentación 3D</w:t>
        </w:r>
        <w:r>
          <w:tab/>
        </w:r>
        <w:r>
          <w:fldChar w:fldCharType="begin"/>
        </w:r>
        <w:r>
          <w:instrText>PAGEREF _Toc712459553 \h</w:instrText>
        </w:r>
        <w:r>
          <w:fldChar w:fldCharType="separate"/>
        </w:r>
        <w:r w:rsidRPr="6E9E5ECF">
          <w:rPr>
            <w:rStyle w:val="Hipervnculo"/>
          </w:rPr>
          <w:t>15</w:t>
        </w:r>
        <w:r>
          <w:fldChar w:fldCharType="end"/>
        </w:r>
      </w:hyperlink>
    </w:p>
    <w:p w:rsidR="6E9E5ECF" w:rsidP="6E9E5ECF" w:rsidRDefault="6E9E5ECF" w14:paraId="69CC0B56" w14:textId="36E4A976">
      <w:pPr>
        <w:pStyle w:val="TDC2"/>
        <w:tabs>
          <w:tab w:val="right" w:leader="dot" w:pos="8490"/>
        </w:tabs>
      </w:pPr>
      <w:hyperlink w:anchor="_Toc1327819141">
        <w:r w:rsidRPr="6E9E5ECF">
          <w:rPr>
            <w:rStyle w:val="Hipervnculo"/>
          </w:rPr>
          <w:t>2.4. Fusión multimodal en MRI</w:t>
        </w:r>
        <w:r>
          <w:tab/>
        </w:r>
        <w:r>
          <w:fldChar w:fldCharType="begin"/>
        </w:r>
        <w:r>
          <w:instrText>PAGEREF _Toc1327819141 \h</w:instrText>
        </w:r>
        <w:r>
          <w:fldChar w:fldCharType="separate"/>
        </w:r>
        <w:r w:rsidRPr="6E9E5ECF">
          <w:rPr>
            <w:rStyle w:val="Hipervnculo"/>
          </w:rPr>
          <w:t>16</w:t>
        </w:r>
        <w:r>
          <w:fldChar w:fldCharType="end"/>
        </w:r>
      </w:hyperlink>
    </w:p>
    <w:p w:rsidR="6E9E5ECF" w:rsidP="6E9E5ECF" w:rsidRDefault="6E9E5ECF" w14:paraId="307DDA19" w14:textId="29148B9C">
      <w:pPr>
        <w:pStyle w:val="TDC3"/>
        <w:tabs>
          <w:tab w:val="right" w:leader="dot" w:pos="8490"/>
        </w:tabs>
      </w:pPr>
      <w:hyperlink w:anchor="_Toc1762843157">
        <w:r w:rsidRPr="6E9E5ECF">
          <w:rPr>
            <w:rStyle w:val="Hipervnculo"/>
          </w:rPr>
          <w:t>2.4.1. Reglas de combinación temprana</w:t>
        </w:r>
        <w:r>
          <w:tab/>
        </w:r>
        <w:r>
          <w:fldChar w:fldCharType="begin"/>
        </w:r>
        <w:r>
          <w:instrText>PAGEREF _Toc1762843157 \h</w:instrText>
        </w:r>
        <w:r>
          <w:fldChar w:fldCharType="separate"/>
        </w:r>
        <w:r w:rsidRPr="6E9E5ECF">
          <w:rPr>
            <w:rStyle w:val="Hipervnculo"/>
          </w:rPr>
          <w:t>17</w:t>
        </w:r>
        <w:r>
          <w:fldChar w:fldCharType="end"/>
        </w:r>
      </w:hyperlink>
    </w:p>
    <w:p w:rsidR="6E9E5ECF" w:rsidP="6E9E5ECF" w:rsidRDefault="6E9E5ECF" w14:paraId="0B6CE14D" w14:textId="5BC4E759">
      <w:pPr>
        <w:pStyle w:val="TDC3"/>
        <w:tabs>
          <w:tab w:val="right" w:leader="dot" w:pos="8490"/>
        </w:tabs>
      </w:pPr>
      <w:hyperlink w:anchor="_Toc250447980">
        <w:r w:rsidRPr="6E9E5ECF">
          <w:rPr>
            <w:rStyle w:val="Hipervnculo"/>
          </w:rPr>
          <w:t>2.4.2. Evolución del estado del arte y brecha estudiada</w:t>
        </w:r>
        <w:r>
          <w:tab/>
        </w:r>
        <w:r>
          <w:fldChar w:fldCharType="begin"/>
        </w:r>
        <w:r>
          <w:instrText>PAGEREF _Toc250447980 \h</w:instrText>
        </w:r>
        <w:r>
          <w:fldChar w:fldCharType="separate"/>
        </w:r>
        <w:r w:rsidRPr="6E9E5ECF">
          <w:rPr>
            <w:rStyle w:val="Hipervnculo"/>
          </w:rPr>
          <w:t>17</w:t>
        </w:r>
        <w:r>
          <w:fldChar w:fldCharType="end"/>
        </w:r>
      </w:hyperlink>
    </w:p>
    <w:p w:rsidR="6E9E5ECF" w:rsidP="6E9E5ECF" w:rsidRDefault="6E9E5ECF" w14:paraId="139B2073" w14:textId="7D81D22F">
      <w:pPr>
        <w:pStyle w:val="TDC2"/>
        <w:tabs>
          <w:tab w:val="right" w:leader="dot" w:pos="8490"/>
        </w:tabs>
      </w:pPr>
      <w:hyperlink w:anchor="_Toc1380924209">
        <w:r w:rsidRPr="6E9E5ECF">
          <w:rPr>
            <w:rStyle w:val="Hipervnculo"/>
          </w:rPr>
          <w:t>2.5. BraTS-GLI 2024 y evaluación de la segmentación</w:t>
        </w:r>
        <w:r>
          <w:tab/>
        </w:r>
        <w:r>
          <w:fldChar w:fldCharType="begin"/>
        </w:r>
        <w:r>
          <w:instrText>PAGEREF _Toc1380924209 \h</w:instrText>
        </w:r>
        <w:r>
          <w:fldChar w:fldCharType="separate"/>
        </w:r>
        <w:r w:rsidRPr="6E9E5ECF">
          <w:rPr>
            <w:rStyle w:val="Hipervnculo"/>
          </w:rPr>
          <w:t>18</w:t>
        </w:r>
        <w:r>
          <w:fldChar w:fldCharType="end"/>
        </w:r>
      </w:hyperlink>
    </w:p>
    <w:p w:rsidR="6E9E5ECF" w:rsidP="6E9E5ECF" w:rsidRDefault="6E9E5ECF" w14:paraId="274C89DA" w14:textId="29EE3E2B">
      <w:pPr>
        <w:pStyle w:val="TDC3"/>
        <w:tabs>
          <w:tab w:val="right" w:leader="dot" w:pos="8490"/>
        </w:tabs>
      </w:pPr>
      <w:hyperlink w:anchor="_Toc176825942">
        <w:r w:rsidRPr="6E9E5ECF">
          <w:rPr>
            <w:rStyle w:val="Hipervnculo"/>
          </w:rPr>
          <w:t>2.5.1. Del benchmark BraTS al escenario post-tratamiento</w:t>
        </w:r>
        <w:r>
          <w:tab/>
        </w:r>
        <w:r>
          <w:fldChar w:fldCharType="begin"/>
        </w:r>
        <w:r>
          <w:instrText>PAGEREF _Toc176825942 \h</w:instrText>
        </w:r>
        <w:r>
          <w:fldChar w:fldCharType="separate"/>
        </w:r>
        <w:r w:rsidRPr="6E9E5ECF">
          <w:rPr>
            <w:rStyle w:val="Hipervnculo"/>
          </w:rPr>
          <w:t>18</w:t>
        </w:r>
        <w:r>
          <w:fldChar w:fldCharType="end"/>
        </w:r>
      </w:hyperlink>
    </w:p>
    <w:p w:rsidR="6E9E5ECF" w:rsidP="6E9E5ECF" w:rsidRDefault="6E9E5ECF" w14:paraId="03072BE0" w14:textId="0E340894">
      <w:pPr>
        <w:pStyle w:val="TDC3"/>
        <w:tabs>
          <w:tab w:val="right" w:leader="dot" w:pos="8490"/>
        </w:tabs>
      </w:pPr>
      <w:hyperlink w:anchor="_Toc323440605">
        <w:r w:rsidRPr="6E9E5ECF">
          <w:rPr>
            <w:rStyle w:val="Hipervnculo"/>
          </w:rPr>
          <w:t>2.5.2. Coeficiente Dice y distancia HD95</w:t>
        </w:r>
        <w:r>
          <w:tab/>
        </w:r>
        <w:r>
          <w:fldChar w:fldCharType="begin"/>
        </w:r>
        <w:r>
          <w:instrText>PAGEREF _Toc323440605 \h</w:instrText>
        </w:r>
        <w:r>
          <w:fldChar w:fldCharType="separate"/>
        </w:r>
        <w:r w:rsidRPr="6E9E5ECF">
          <w:rPr>
            <w:rStyle w:val="Hipervnculo"/>
          </w:rPr>
          <w:t>19</w:t>
        </w:r>
        <w:r>
          <w:fldChar w:fldCharType="end"/>
        </w:r>
      </w:hyperlink>
    </w:p>
    <w:p w:rsidR="6E9E5ECF" w:rsidP="6E9E5ECF" w:rsidRDefault="6E9E5ECF" w14:paraId="048D97A3" w14:textId="7BF0080B">
      <w:pPr>
        <w:pStyle w:val="TDC2"/>
        <w:tabs>
          <w:tab w:val="right" w:leader="dot" w:pos="8490"/>
        </w:tabs>
      </w:pPr>
      <w:hyperlink w:anchor="_Toc1544227300">
        <w:r w:rsidRPr="6E9E5ECF">
          <w:rPr>
            <w:rStyle w:val="Hipervnculo"/>
          </w:rPr>
          <w:t>2.6. Coste computacional y reproducibilidad</w:t>
        </w:r>
        <w:r>
          <w:tab/>
        </w:r>
        <w:r>
          <w:fldChar w:fldCharType="begin"/>
        </w:r>
        <w:r>
          <w:instrText>PAGEREF _Toc1544227300 \h</w:instrText>
        </w:r>
        <w:r>
          <w:fldChar w:fldCharType="separate"/>
        </w:r>
        <w:r w:rsidRPr="6E9E5ECF">
          <w:rPr>
            <w:rStyle w:val="Hipervnculo"/>
          </w:rPr>
          <w:t>19</w:t>
        </w:r>
        <w:r>
          <w:fldChar w:fldCharType="end"/>
        </w:r>
      </w:hyperlink>
    </w:p>
    <w:p w:rsidR="6E9E5ECF" w:rsidP="6E9E5ECF" w:rsidRDefault="6E9E5ECF" w14:paraId="70141C00" w14:textId="6E158AEC">
      <w:pPr>
        <w:pStyle w:val="TDC2"/>
        <w:tabs>
          <w:tab w:val="right" w:leader="dot" w:pos="8490"/>
        </w:tabs>
      </w:pPr>
      <w:hyperlink w:anchor="_Toc1275884400">
        <w:r w:rsidRPr="6E9E5ECF">
          <w:rPr>
            <w:rStyle w:val="Hipervnculo"/>
          </w:rPr>
          <w:t>2.7. Implementaciones y repositorios considerados</w:t>
        </w:r>
        <w:r>
          <w:tab/>
        </w:r>
        <w:r>
          <w:fldChar w:fldCharType="begin"/>
        </w:r>
        <w:r>
          <w:instrText>PAGEREF _Toc1275884400 \h</w:instrText>
        </w:r>
        <w:r>
          <w:fldChar w:fldCharType="separate"/>
        </w:r>
        <w:r w:rsidRPr="6E9E5ECF">
          <w:rPr>
            <w:rStyle w:val="Hipervnculo"/>
          </w:rPr>
          <w:t>20</w:t>
        </w:r>
        <w:r>
          <w:fldChar w:fldCharType="end"/>
        </w:r>
      </w:hyperlink>
    </w:p>
    <w:p w:rsidR="6E9E5ECF" w:rsidP="6E9E5ECF" w:rsidRDefault="6E9E5ECF" w14:paraId="704B700A" w14:textId="2074F7B3">
      <w:pPr>
        <w:pStyle w:val="TDC2"/>
        <w:tabs>
          <w:tab w:val="right" w:leader="dot" w:pos="8490"/>
        </w:tabs>
      </w:pPr>
      <w:hyperlink w:anchor="_Toc1184466766">
        <w:r w:rsidRPr="6E9E5ECF">
          <w:rPr>
            <w:rStyle w:val="Hipervnculo"/>
          </w:rPr>
          <w:t>2.8. Posicionamiento del TFM</w:t>
        </w:r>
        <w:r>
          <w:tab/>
        </w:r>
        <w:r>
          <w:fldChar w:fldCharType="begin"/>
        </w:r>
        <w:r>
          <w:instrText>PAGEREF _Toc1184466766 \h</w:instrText>
        </w:r>
        <w:r>
          <w:fldChar w:fldCharType="separate"/>
        </w:r>
        <w:r w:rsidRPr="6E9E5ECF">
          <w:rPr>
            <w:rStyle w:val="Hipervnculo"/>
          </w:rPr>
          <w:t>21</w:t>
        </w:r>
        <w:r>
          <w:fldChar w:fldCharType="end"/>
        </w:r>
      </w:hyperlink>
    </w:p>
    <w:p w:rsidR="6E9E5ECF" w:rsidP="6E9E5ECF" w:rsidRDefault="6E9E5ECF" w14:paraId="0D06D77F" w14:textId="0F451BB1">
      <w:pPr>
        <w:pStyle w:val="TDC1"/>
        <w:tabs>
          <w:tab w:val="right" w:leader="dot" w:pos="8490"/>
        </w:tabs>
      </w:pPr>
      <w:hyperlink w:anchor="_Toc450201048">
        <w:r w:rsidRPr="6E9E5ECF">
          <w:rPr>
            <w:rStyle w:val="Hipervnculo"/>
          </w:rPr>
          <w:t>3. Metodología</w:t>
        </w:r>
        <w:r>
          <w:tab/>
        </w:r>
        <w:r>
          <w:fldChar w:fldCharType="begin"/>
        </w:r>
        <w:r>
          <w:instrText>PAGEREF _Toc450201048 \h</w:instrText>
        </w:r>
        <w:r>
          <w:fldChar w:fldCharType="separate"/>
        </w:r>
        <w:r w:rsidRPr="6E9E5ECF">
          <w:rPr>
            <w:rStyle w:val="Hipervnculo"/>
          </w:rPr>
          <w:t>22</w:t>
        </w:r>
        <w:r>
          <w:fldChar w:fldCharType="end"/>
        </w:r>
      </w:hyperlink>
    </w:p>
    <w:p w:rsidR="6E9E5ECF" w:rsidP="6E9E5ECF" w:rsidRDefault="6E9E5ECF" w14:paraId="62972637" w14:textId="52FA5EFC">
      <w:pPr>
        <w:pStyle w:val="TDC2"/>
        <w:tabs>
          <w:tab w:val="right" w:leader="dot" w:pos="8490"/>
        </w:tabs>
      </w:pPr>
      <w:hyperlink w:anchor="_Toc884400731">
        <w:r w:rsidRPr="6E9E5ECF">
          <w:rPr>
            <w:rStyle w:val="Hipervnculo"/>
          </w:rPr>
          <w:t>3.1. Enfoque metodológico</w:t>
        </w:r>
        <w:r>
          <w:tab/>
        </w:r>
        <w:r>
          <w:fldChar w:fldCharType="begin"/>
        </w:r>
        <w:r>
          <w:instrText>PAGEREF _Toc884400731 \h</w:instrText>
        </w:r>
        <w:r>
          <w:fldChar w:fldCharType="separate"/>
        </w:r>
        <w:r w:rsidRPr="6E9E5ECF">
          <w:rPr>
            <w:rStyle w:val="Hipervnculo"/>
          </w:rPr>
          <w:t>23</w:t>
        </w:r>
        <w:r>
          <w:fldChar w:fldCharType="end"/>
        </w:r>
      </w:hyperlink>
    </w:p>
    <w:p w:rsidR="6E9E5ECF" w:rsidP="6E9E5ECF" w:rsidRDefault="6E9E5ECF" w14:paraId="35EDA455" w14:textId="7543AD86">
      <w:pPr>
        <w:pStyle w:val="TDC2"/>
        <w:tabs>
          <w:tab w:val="right" w:leader="dot" w:pos="8490"/>
        </w:tabs>
      </w:pPr>
      <w:hyperlink w:anchor="_Toc1280949951">
        <w:r w:rsidRPr="6E9E5ECF">
          <w:rPr>
            <w:rStyle w:val="Hipervnculo"/>
          </w:rPr>
          <w:t>3.2. Descripción general de las fases</w:t>
        </w:r>
        <w:r>
          <w:tab/>
        </w:r>
        <w:r>
          <w:fldChar w:fldCharType="begin"/>
        </w:r>
        <w:r>
          <w:instrText>PAGEREF _Toc1280949951 \h</w:instrText>
        </w:r>
        <w:r>
          <w:fldChar w:fldCharType="separate"/>
        </w:r>
        <w:r w:rsidRPr="6E9E5ECF">
          <w:rPr>
            <w:rStyle w:val="Hipervnculo"/>
          </w:rPr>
          <w:t>23</w:t>
        </w:r>
        <w:r>
          <w:fldChar w:fldCharType="end"/>
        </w:r>
      </w:hyperlink>
    </w:p>
    <w:p w:rsidR="6E9E5ECF" w:rsidP="6E9E5ECF" w:rsidRDefault="6E9E5ECF" w14:paraId="183A2779" w14:textId="3B333CF4">
      <w:pPr>
        <w:pStyle w:val="TDC2"/>
        <w:tabs>
          <w:tab w:val="right" w:leader="dot" w:pos="8490"/>
        </w:tabs>
      </w:pPr>
      <w:hyperlink w:anchor="_Toc421875535">
        <w:r w:rsidRPr="6E9E5ECF">
          <w:rPr>
            <w:rStyle w:val="Hipervnculo"/>
          </w:rPr>
          <w:t>3.3. Correspondencia entre metodología y desarrollo</w:t>
        </w:r>
        <w:r>
          <w:tab/>
        </w:r>
        <w:r>
          <w:fldChar w:fldCharType="begin"/>
        </w:r>
        <w:r>
          <w:instrText>PAGEREF _Toc421875535 \h</w:instrText>
        </w:r>
        <w:r>
          <w:fldChar w:fldCharType="separate"/>
        </w:r>
        <w:r w:rsidRPr="6E9E5ECF">
          <w:rPr>
            <w:rStyle w:val="Hipervnculo"/>
          </w:rPr>
          <w:t>24</w:t>
        </w:r>
        <w:r>
          <w:fldChar w:fldCharType="end"/>
        </w:r>
      </w:hyperlink>
    </w:p>
    <w:p w:rsidR="6E9E5ECF" w:rsidP="6E9E5ECF" w:rsidRDefault="6E9E5ECF" w14:paraId="15727A2B" w14:textId="5C369075">
      <w:pPr>
        <w:pStyle w:val="TDC2"/>
        <w:tabs>
          <w:tab w:val="right" w:leader="dot" w:pos="8490"/>
        </w:tabs>
      </w:pPr>
      <w:hyperlink w:anchor="_Toc738730114">
        <w:r w:rsidRPr="6E9E5ECF">
          <w:rPr>
            <w:rStyle w:val="Hipervnculo"/>
          </w:rPr>
          <w:t>3.4. Cronograma</w:t>
        </w:r>
        <w:r>
          <w:tab/>
        </w:r>
        <w:r>
          <w:fldChar w:fldCharType="begin"/>
        </w:r>
        <w:r>
          <w:instrText>PAGEREF _Toc738730114 \h</w:instrText>
        </w:r>
        <w:r>
          <w:fldChar w:fldCharType="separate"/>
        </w:r>
        <w:r w:rsidRPr="6E9E5ECF">
          <w:rPr>
            <w:rStyle w:val="Hipervnculo"/>
          </w:rPr>
          <w:t>25</w:t>
        </w:r>
        <w:r>
          <w:fldChar w:fldCharType="end"/>
        </w:r>
      </w:hyperlink>
    </w:p>
    <w:p w:rsidR="6E9E5ECF" w:rsidP="6E9E5ECF" w:rsidRDefault="6E9E5ECF" w14:paraId="05F844EC" w14:textId="341E0F23">
      <w:pPr>
        <w:pStyle w:val="TDC1"/>
        <w:tabs>
          <w:tab w:val="right" w:leader="dot" w:pos="8490"/>
        </w:tabs>
      </w:pPr>
      <w:hyperlink w:anchor="_Toc596025605">
        <w:r w:rsidRPr="6E9E5ECF">
          <w:rPr>
            <w:rStyle w:val="Hipervnculo"/>
          </w:rPr>
          <w:t>4. Desarrollo</w:t>
        </w:r>
        <w:r>
          <w:tab/>
        </w:r>
        <w:r>
          <w:fldChar w:fldCharType="begin"/>
        </w:r>
        <w:r>
          <w:instrText>PAGEREF _Toc596025605 \h</w:instrText>
        </w:r>
        <w:r>
          <w:fldChar w:fldCharType="separate"/>
        </w:r>
        <w:r w:rsidRPr="6E9E5ECF">
          <w:rPr>
            <w:rStyle w:val="Hipervnculo"/>
          </w:rPr>
          <w:t>25</w:t>
        </w:r>
        <w:r>
          <w:fldChar w:fldCharType="end"/>
        </w:r>
      </w:hyperlink>
    </w:p>
    <w:p w:rsidR="6E9E5ECF" w:rsidP="6E9E5ECF" w:rsidRDefault="6E9E5ECF" w14:paraId="71FE649A" w14:textId="34507F8A">
      <w:pPr>
        <w:pStyle w:val="TDC2"/>
        <w:tabs>
          <w:tab w:val="right" w:leader="dot" w:pos="8490"/>
        </w:tabs>
      </w:pPr>
      <w:hyperlink w:anchor="_Toc1666003556">
        <w:r w:rsidRPr="6E9E5ECF">
          <w:rPr>
            <w:rStyle w:val="Hipervnculo"/>
          </w:rPr>
          <w:t>4.1. Familiarización y selección de herramientas (Fase 1)</w:t>
        </w:r>
        <w:r>
          <w:tab/>
        </w:r>
        <w:r>
          <w:fldChar w:fldCharType="begin"/>
        </w:r>
        <w:r>
          <w:instrText>PAGEREF _Toc1666003556 \h</w:instrText>
        </w:r>
        <w:r>
          <w:fldChar w:fldCharType="separate"/>
        </w:r>
        <w:r w:rsidRPr="6E9E5ECF">
          <w:rPr>
            <w:rStyle w:val="Hipervnculo"/>
          </w:rPr>
          <w:t>26</w:t>
        </w:r>
        <w:r>
          <w:fldChar w:fldCharType="end"/>
        </w:r>
      </w:hyperlink>
    </w:p>
    <w:p w:rsidR="6E9E5ECF" w:rsidP="6E9E5ECF" w:rsidRDefault="6E9E5ECF" w14:paraId="5B60019B" w14:textId="6B2197FF">
      <w:pPr>
        <w:pStyle w:val="TDC2"/>
        <w:tabs>
          <w:tab w:val="right" w:leader="dot" w:pos="8490"/>
        </w:tabs>
      </w:pPr>
      <w:hyperlink w:anchor="_Toc1905653453">
        <w:r w:rsidRPr="6E9E5ECF">
          <w:rPr>
            <w:rStyle w:val="Hipervnculo"/>
          </w:rPr>
          <w:t>4.2. Análisis y preparación de los datos (Fase 2)</w:t>
        </w:r>
        <w:r>
          <w:tab/>
        </w:r>
        <w:r>
          <w:fldChar w:fldCharType="begin"/>
        </w:r>
        <w:r>
          <w:instrText>PAGEREF _Toc1905653453 \h</w:instrText>
        </w:r>
        <w:r>
          <w:fldChar w:fldCharType="separate"/>
        </w:r>
        <w:r w:rsidRPr="6E9E5ECF">
          <w:rPr>
            <w:rStyle w:val="Hipervnculo"/>
          </w:rPr>
          <w:t>26</w:t>
        </w:r>
        <w:r>
          <w:fldChar w:fldCharType="end"/>
        </w:r>
      </w:hyperlink>
    </w:p>
    <w:p w:rsidR="6E9E5ECF" w:rsidP="6E9E5ECF" w:rsidRDefault="6E9E5ECF" w14:paraId="6A837BB0" w14:textId="2F6ED783">
      <w:pPr>
        <w:pStyle w:val="TDC3"/>
        <w:tabs>
          <w:tab w:val="right" w:leader="dot" w:pos="8490"/>
        </w:tabs>
      </w:pPr>
      <w:hyperlink w:anchor="_Toc1887449603">
        <w:r w:rsidRPr="6E9E5ECF">
          <w:rPr>
            <w:rStyle w:val="Hipervnculo"/>
          </w:rPr>
          <w:t>4.2.1. Conjunto de datos y descubrimiento de estudios</w:t>
        </w:r>
        <w:r>
          <w:tab/>
        </w:r>
        <w:r>
          <w:fldChar w:fldCharType="begin"/>
        </w:r>
        <w:r>
          <w:instrText>PAGEREF _Toc1887449603 \h</w:instrText>
        </w:r>
        <w:r>
          <w:fldChar w:fldCharType="separate"/>
        </w:r>
        <w:r w:rsidRPr="6E9E5ECF">
          <w:rPr>
            <w:rStyle w:val="Hipervnculo"/>
          </w:rPr>
          <w:t>26</w:t>
        </w:r>
        <w:r>
          <w:fldChar w:fldCharType="end"/>
        </w:r>
      </w:hyperlink>
    </w:p>
    <w:p w:rsidR="6E9E5ECF" w:rsidP="6E9E5ECF" w:rsidRDefault="6E9E5ECF" w14:paraId="58248409" w14:textId="4EFE5F3A">
      <w:pPr>
        <w:pStyle w:val="TDC3"/>
        <w:tabs>
          <w:tab w:val="right" w:leader="dot" w:pos="8490"/>
        </w:tabs>
      </w:pPr>
      <w:hyperlink w:anchor="_Toc2139579394">
        <w:r w:rsidRPr="6E9E5ECF">
          <w:rPr>
            <w:rStyle w:val="Hipervnculo"/>
          </w:rPr>
          <w:t>4.2.2. Control de calidad</w:t>
        </w:r>
        <w:r>
          <w:tab/>
        </w:r>
        <w:r>
          <w:fldChar w:fldCharType="begin"/>
        </w:r>
        <w:r>
          <w:instrText>PAGEREF _Toc2139579394 \h</w:instrText>
        </w:r>
        <w:r>
          <w:fldChar w:fldCharType="separate"/>
        </w:r>
        <w:r w:rsidRPr="6E9E5ECF">
          <w:rPr>
            <w:rStyle w:val="Hipervnculo"/>
          </w:rPr>
          <w:t>26</w:t>
        </w:r>
        <w:r>
          <w:fldChar w:fldCharType="end"/>
        </w:r>
      </w:hyperlink>
    </w:p>
    <w:p w:rsidR="6E9E5ECF" w:rsidP="6E9E5ECF" w:rsidRDefault="6E9E5ECF" w14:paraId="268DCB49" w14:textId="1B9843E1">
      <w:pPr>
        <w:pStyle w:val="TDC3"/>
        <w:tabs>
          <w:tab w:val="right" w:leader="dot" w:pos="8490"/>
        </w:tabs>
      </w:pPr>
      <w:hyperlink w:anchor="_Toc521201168">
        <w:r w:rsidRPr="6E9E5ECF">
          <w:rPr>
            <w:rStyle w:val="Hipervnculo"/>
          </w:rPr>
          <w:t>4.2.3. Particiones estratificadas y reproducibles</w:t>
        </w:r>
        <w:r>
          <w:tab/>
        </w:r>
        <w:r>
          <w:fldChar w:fldCharType="begin"/>
        </w:r>
        <w:r>
          <w:instrText>PAGEREF _Toc521201168 \h</w:instrText>
        </w:r>
        <w:r>
          <w:fldChar w:fldCharType="separate"/>
        </w:r>
        <w:r w:rsidRPr="6E9E5ECF">
          <w:rPr>
            <w:rStyle w:val="Hipervnculo"/>
          </w:rPr>
          <w:t>27</w:t>
        </w:r>
        <w:r>
          <w:fldChar w:fldCharType="end"/>
        </w:r>
      </w:hyperlink>
    </w:p>
    <w:p w:rsidR="6E9E5ECF" w:rsidP="6E9E5ECF" w:rsidRDefault="6E9E5ECF" w14:paraId="46D768A6" w14:textId="45BF172D">
      <w:pPr>
        <w:pStyle w:val="TDC2"/>
        <w:tabs>
          <w:tab w:val="right" w:leader="dot" w:pos="8490"/>
        </w:tabs>
      </w:pPr>
      <w:hyperlink w:anchor="_Toc1508571349">
        <w:r w:rsidRPr="6E9E5ECF">
          <w:rPr>
            <w:rStyle w:val="Hipervnculo"/>
          </w:rPr>
          <w:t>4.3. Diseño e implementación del pipeline (Fase 3)</w:t>
        </w:r>
        <w:r>
          <w:tab/>
        </w:r>
        <w:r>
          <w:fldChar w:fldCharType="begin"/>
        </w:r>
        <w:r>
          <w:instrText>PAGEREF _Toc1508571349 \h</w:instrText>
        </w:r>
        <w:r>
          <w:fldChar w:fldCharType="separate"/>
        </w:r>
        <w:r w:rsidRPr="6E9E5ECF">
          <w:rPr>
            <w:rStyle w:val="Hipervnculo"/>
          </w:rPr>
          <w:t>27</w:t>
        </w:r>
        <w:r>
          <w:fldChar w:fldCharType="end"/>
        </w:r>
      </w:hyperlink>
    </w:p>
    <w:p w:rsidR="6E9E5ECF" w:rsidP="6E9E5ECF" w:rsidRDefault="6E9E5ECF" w14:paraId="7F2DA5A8" w14:textId="50F58FCF">
      <w:pPr>
        <w:pStyle w:val="TDC3"/>
        <w:tabs>
          <w:tab w:val="right" w:leader="dot" w:pos="8490"/>
        </w:tabs>
      </w:pPr>
      <w:hyperlink w:anchor="_Toc1755638597">
        <w:r w:rsidRPr="6E9E5ECF">
          <w:rPr>
            <w:rStyle w:val="Hipervnculo"/>
          </w:rPr>
          <w:t>4.3.1. Entornos de cómputo</w:t>
        </w:r>
        <w:r>
          <w:tab/>
        </w:r>
        <w:r>
          <w:fldChar w:fldCharType="begin"/>
        </w:r>
        <w:r>
          <w:instrText>PAGEREF _Toc1755638597 \h</w:instrText>
        </w:r>
        <w:r>
          <w:fldChar w:fldCharType="separate"/>
        </w:r>
        <w:r w:rsidRPr="6E9E5ECF">
          <w:rPr>
            <w:rStyle w:val="Hipervnculo"/>
          </w:rPr>
          <w:t>27</w:t>
        </w:r>
        <w:r>
          <w:fldChar w:fldCharType="end"/>
        </w:r>
      </w:hyperlink>
    </w:p>
    <w:p w:rsidR="6E9E5ECF" w:rsidP="6E9E5ECF" w:rsidRDefault="6E9E5ECF" w14:paraId="70F05518" w14:textId="326D09F6">
      <w:pPr>
        <w:pStyle w:val="TDC3"/>
        <w:tabs>
          <w:tab w:val="right" w:leader="dot" w:pos="8490"/>
        </w:tabs>
      </w:pPr>
      <w:hyperlink w:anchor="_Toc1370704297">
        <w:r w:rsidRPr="6E9E5ECF">
          <w:rPr>
            <w:rStyle w:val="Hipervnculo"/>
          </w:rPr>
          <w:t>4.3.2. Organización del código y flujo de trabajo</w:t>
        </w:r>
        <w:r>
          <w:tab/>
        </w:r>
        <w:r>
          <w:fldChar w:fldCharType="begin"/>
        </w:r>
        <w:r>
          <w:instrText>PAGEREF _Toc1370704297 \h</w:instrText>
        </w:r>
        <w:r>
          <w:fldChar w:fldCharType="separate"/>
        </w:r>
        <w:r w:rsidRPr="6E9E5ECF">
          <w:rPr>
            <w:rStyle w:val="Hipervnculo"/>
          </w:rPr>
          <w:t>28</w:t>
        </w:r>
        <w:r>
          <w:fldChar w:fldCharType="end"/>
        </w:r>
      </w:hyperlink>
    </w:p>
    <w:p w:rsidR="6E9E5ECF" w:rsidP="6E9E5ECF" w:rsidRDefault="6E9E5ECF" w14:paraId="39442920" w14:textId="637B9C1F">
      <w:pPr>
        <w:pStyle w:val="TDC3"/>
        <w:tabs>
          <w:tab w:val="right" w:leader="dot" w:pos="8490"/>
        </w:tabs>
      </w:pPr>
      <w:hyperlink w:anchor="_Toc1890620708">
        <w:r w:rsidRPr="6E9E5ECF">
          <w:rPr>
            <w:rStyle w:val="Hipervnculo"/>
          </w:rPr>
          <w:t>4.3.3. Formulación del problema, modalidades y regiones</w:t>
        </w:r>
        <w:r>
          <w:tab/>
        </w:r>
        <w:r>
          <w:fldChar w:fldCharType="begin"/>
        </w:r>
        <w:r>
          <w:instrText>PAGEREF _Toc1890620708 \h</w:instrText>
        </w:r>
        <w:r>
          <w:fldChar w:fldCharType="separate"/>
        </w:r>
        <w:r w:rsidRPr="6E9E5ECF">
          <w:rPr>
            <w:rStyle w:val="Hipervnculo"/>
          </w:rPr>
          <w:t>29</w:t>
        </w:r>
        <w:r>
          <w:fldChar w:fldCharType="end"/>
        </w:r>
      </w:hyperlink>
    </w:p>
    <w:p w:rsidR="6E9E5ECF" w:rsidP="6E9E5ECF" w:rsidRDefault="6E9E5ECF" w14:paraId="086EC66C" w14:textId="21CE5304">
      <w:pPr>
        <w:pStyle w:val="TDC3"/>
        <w:tabs>
          <w:tab w:val="right" w:leader="dot" w:pos="8490"/>
        </w:tabs>
      </w:pPr>
      <w:hyperlink w:anchor="_Toc254808715">
        <w:r w:rsidRPr="6E9E5ECF">
          <w:rPr>
            <w:rStyle w:val="Hipervnculo"/>
          </w:rPr>
          <w:t>4.3.4. Preprocesamiento y aumento de datos</w:t>
        </w:r>
        <w:r>
          <w:tab/>
        </w:r>
        <w:r>
          <w:fldChar w:fldCharType="begin"/>
        </w:r>
        <w:r>
          <w:instrText>PAGEREF _Toc254808715 \h</w:instrText>
        </w:r>
        <w:r>
          <w:fldChar w:fldCharType="separate"/>
        </w:r>
        <w:r w:rsidRPr="6E9E5ECF">
          <w:rPr>
            <w:rStyle w:val="Hipervnculo"/>
          </w:rPr>
          <w:t>30</w:t>
        </w:r>
        <w:r>
          <w:fldChar w:fldCharType="end"/>
        </w:r>
      </w:hyperlink>
    </w:p>
    <w:p w:rsidR="6E9E5ECF" w:rsidP="6E9E5ECF" w:rsidRDefault="6E9E5ECF" w14:paraId="29BD8CEC" w14:textId="19C2AFA4">
      <w:pPr>
        <w:pStyle w:val="TDC3"/>
        <w:tabs>
          <w:tab w:val="right" w:leader="dot" w:pos="8490"/>
        </w:tabs>
      </w:pPr>
      <w:hyperlink w:anchor="_Toc1952222429">
        <w:r w:rsidRPr="6E9E5ECF">
          <w:rPr>
            <w:rStyle w:val="Hipervnculo"/>
          </w:rPr>
          <w:t>4.3.5. Familias de modelos y factory</w:t>
        </w:r>
        <w:r>
          <w:tab/>
        </w:r>
        <w:r>
          <w:fldChar w:fldCharType="begin"/>
        </w:r>
        <w:r>
          <w:instrText>PAGEREF _Toc1952222429 \h</w:instrText>
        </w:r>
        <w:r>
          <w:fldChar w:fldCharType="separate"/>
        </w:r>
        <w:r w:rsidRPr="6E9E5ECF">
          <w:rPr>
            <w:rStyle w:val="Hipervnculo"/>
          </w:rPr>
          <w:t>30</w:t>
        </w:r>
        <w:r>
          <w:fldChar w:fldCharType="end"/>
        </w:r>
      </w:hyperlink>
    </w:p>
    <w:p w:rsidR="6E9E5ECF" w:rsidP="6E9E5ECF" w:rsidRDefault="6E9E5ECF" w14:paraId="7A964EA2" w14:textId="7FC07633">
      <w:pPr>
        <w:pStyle w:val="TDC3"/>
        <w:tabs>
          <w:tab w:val="right" w:leader="dot" w:pos="8490"/>
        </w:tabs>
      </w:pPr>
      <w:hyperlink w:anchor="_Toc2045444893">
        <w:r w:rsidRPr="6E9E5ECF">
          <w:rPr>
            <w:rStyle w:val="Hipervnculo"/>
          </w:rPr>
          <w:t>4.3.6. Mecanismos de fusión multimodal</w:t>
        </w:r>
        <w:r>
          <w:tab/>
        </w:r>
        <w:r>
          <w:fldChar w:fldCharType="begin"/>
        </w:r>
        <w:r>
          <w:instrText>PAGEREF _Toc2045444893 \h</w:instrText>
        </w:r>
        <w:r>
          <w:fldChar w:fldCharType="separate"/>
        </w:r>
        <w:r w:rsidRPr="6E9E5ECF">
          <w:rPr>
            <w:rStyle w:val="Hipervnculo"/>
          </w:rPr>
          <w:t>31</w:t>
        </w:r>
        <w:r>
          <w:fldChar w:fldCharType="end"/>
        </w:r>
      </w:hyperlink>
    </w:p>
    <w:p w:rsidR="6E9E5ECF" w:rsidP="6E9E5ECF" w:rsidRDefault="6E9E5ECF" w14:paraId="6BB2F2FA" w14:textId="0E4FADDE">
      <w:pPr>
        <w:pStyle w:val="TDC2"/>
        <w:tabs>
          <w:tab w:val="right" w:leader="dot" w:pos="8490"/>
        </w:tabs>
      </w:pPr>
      <w:hyperlink w:anchor="_Toc1154936794">
        <w:r w:rsidRPr="6E9E5ECF">
          <w:rPr>
            <w:rStyle w:val="Hipervnculo"/>
          </w:rPr>
          <w:t>4.4. Experimentación (Fase 4)</w:t>
        </w:r>
        <w:r>
          <w:tab/>
        </w:r>
        <w:r>
          <w:fldChar w:fldCharType="begin"/>
        </w:r>
        <w:r>
          <w:instrText>PAGEREF _Toc1154936794 \h</w:instrText>
        </w:r>
        <w:r>
          <w:fldChar w:fldCharType="separate"/>
        </w:r>
        <w:r w:rsidRPr="6E9E5ECF">
          <w:rPr>
            <w:rStyle w:val="Hipervnculo"/>
          </w:rPr>
          <w:t>33</w:t>
        </w:r>
        <w:r>
          <w:fldChar w:fldCharType="end"/>
        </w:r>
      </w:hyperlink>
    </w:p>
    <w:p w:rsidR="6E9E5ECF" w:rsidP="6E9E5ECF" w:rsidRDefault="6E9E5ECF" w14:paraId="2C80DECB" w14:textId="79AFC26E">
      <w:pPr>
        <w:pStyle w:val="TDC3"/>
        <w:tabs>
          <w:tab w:val="right" w:leader="dot" w:pos="8490"/>
        </w:tabs>
      </w:pPr>
      <w:hyperlink w:anchor="_Toc1289560173">
        <w:r w:rsidRPr="6E9E5ECF">
          <w:rPr>
            <w:rStyle w:val="Hipervnculo"/>
          </w:rPr>
          <w:t>4.4.1. Configuración de entrenamiento MONAI</w:t>
        </w:r>
        <w:r>
          <w:tab/>
        </w:r>
        <w:r>
          <w:fldChar w:fldCharType="begin"/>
        </w:r>
        <w:r>
          <w:instrText>PAGEREF _Toc1289560173 \h</w:instrText>
        </w:r>
        <w:r>
          <w:fldChar w:fldCharType="separate"/>
        </w:r>
        <w:r w:rsidRPr="6E9E5ECF">
          <w:rPr>
            <w:rStyle w:val="Hipervnculo"/>
          </w:rPr>
          <w:t>33</w:t>
        </w:r>
        <w:r>
          <w:fldChar w:fldCharType="end"/>
        </w:r>
      </w:hyperlink>
    </w:p>
    <w:p w:rsidR="6E9E5ECF" w:rsidP="6E9E5ECF" w:rsidRDefault="6E9E5ECF" w14:paraId="180365AE" w14:textId="4F413926">
      <w:pPr>
        <w:pStyle w:val="TDC3"/>
        <w:tabs>
          <w:tab w:val="right" w:leader="dot" w:pos="8490"/>
        </w:tabs>
      </w:pPr>
      <w:hyperlink w:anchor="_Toc600096656">
        <w:r w:rsidRPr="6E9E5ECF">
          <w:rPr>
            <w:rStyle w:val="Hipervnculo"/>
          </w:rPr>
          <w:t>4.4.2. Bucle de entrenamiento y selección de puntos de control</w:t>
        </w:r>
        <w:r>
          <w:tab/>
        </w:r>
        <w:r>
          <w:fldChar w:fldCharType="begin"/>
        </w:r>
        <w:r>
          <w:instrText>PAGEREF _Toc600096656 \h</w:instrText>
        </w:r>
        <w:r>
          <w:fldChar w:fldCharType="separate"/>
        </w:r>
        <w:r w:rsidRPr="6E9E5ECF">
          <w:rPr>
            <w:rStyle w:val="Hipervnculo"/>
          </w:rPr>
          <w:t>34</w:t>
        </w:r>
        <w:r>
          <w:fldChar w:fldCharType="end"/>
        </w:r>
      </w:hyperlink>
    </w:p>
    <w:p w:rsidR="6E9E5ECF" w:rsidP="6E9E5ECF" w:rsidRDefault="6E9E5ECF" w14:paraId="54BFBDEE" w14:textId="1B63D385">
      <w:pPr>
        <w:pStyle w:val="TDC3"/>
        <w:tabs>
          <w:tab w:val="right" w:leader="dot" w:pos="8490"/>
        </w:tabs>
      </w:pPr>
      <w:hyperlink w:anchor="_Toc543886787">
        <w:r w:rsidRPr="6E9E5ECF">
          <w:rPr>
            <w:rStyle w:val="Hipervnculo"/>
          </w:rPr>
          <w:t>4.4.3. Diseño de las comparaciones y reproducibilidad</w:t>
        </w:r>
        <w:r>
          <w:tab/>
        </w:r>
        <w:r>
          <w:fldChar w:fldCharType="begin"/>
        </w:r>
        <w:r>
          <w:instrText>PAGEREF _Toc543886787 \h</w:instrText>
        </w:r>
        <w:r>
          <w:fldChar w:fldCharType="separate"/>
        </w:r>
        <w:r w:rsidRPr="6E9E5ECF">
          <w:rPr>
            <w:rStyle w:val="Hipervnculo"/>
          </w:rPr>
          <w:t>34</w:t>
        </w:r>
        <w:r>
          <w:fldChar w:fldCharType="end"/>
        </w:r>
      </w:hyperlink>
    </w:p>
    <w:p w:rsidR="6E9E5ECF" w:rsidP="6E9E5ECF" w:rsidRDefault="6E9E5ECF" w14:paraId="5669BDC2" w14:textId="1ABD897B">
      <w:pPr>
        <w:pStyle w:val="TDC3"/>
        <w:tabs>
          <w:tab w:val="right" w:leader="dot" w:pos="8490"/>
        </w:tabs>
      </w:pPr>
      <w:hyperlink w:anchor="_Toc316928095">
        <w:r w:rsidRPr="6E9E5ECF">
          <w:rPr>
            <w:rStyle w:val="Hipervnculo"/>
          </w:rPr>
          <w:t>4.4.4. Estudio de ablación de estrategias de fusión</w:t>
        </w:r>
        <w:r>
          <w:tab/>
        </w:r>
        <w:r>
          <w:fldChar w:fldCharType="begin"/>
        </w:r>
        <w:r>
          <w:instrText>PAGEREF _Toc316928095 \h</w:instrText>
        </w:r>
        <w:r>
          <w:fldChar w:fldCharType="separate"/>
        </w:r>
        <w:r w:rsidRPr="6E9E5ECF">
          <w:rPr>
            <w:rStyle w:val="Hipervnculo"/>
          </w:rPr>
          <w:t>34</w:t>
        </w:r>
        <w:r>
          <w:fldChar w:fldCharType="end"/>
        </w:r>
      </w:hyperlink>
    </w:p>
    <w:p w:rsidR="6E9E5ECF" w:rsidP="6E9E5ECF" w:rsidRDefault="6E9E5ECF" w14:paraId="73FB7B5E" w14:textId="2B31A0AA">
      <w:pPr>
        <w:pStyle w:val="TDC3"/>
        <w:tabs>
          <w:tab w:val="right" w:leader="dot" w:pos="8490"/>
        </w:tabs>
      </w:pPr>
      <w:hyperlink w:anchor="_Toc522804622">
        <w:r w:rsidRPr="6E9E5ECF">
          <w:rPr>
            <w:rStyle w:val="Hipervnculo"/>
          </w:rPr>
          <w:t>4.4.5. nnU-Net como referencia externa</w:t>
        </w:r>
        <w:r>
          <w:tab/>
        </w:r>
        <w:r>
          <w:fldChar w:fldCharType="begin"/>
        </w:r>
        <w:r>
          <w:instrText>PAGEREF _Toc522804622 \h</w:instrText>
        </w:r>
        <w:r>
          <w:fldChar w:fldCharType="separate"/>
        </w:r>
        <w:r w:rsidRPr="6E9E5ECF">
          <w:rPr>
            <w:rStyle w:val="Hipervnculo"/>
          </w:rPr>
          <w:t>35</w:t>
        </w:r>
        <w:r>
          <w:fldChar w:fldCharType="end"/>
        </w:r>
      </w:hyperlink>
    </w:p>
    <w:p w:rsidR="6E9E5ECF" w:rsidP="6E9E5ECF" w:rsidRDefault="6E9E5ECF" w14:paraId="15438579" w14:textId="166952B1">
      <w:pPr>
        <w:pStyle w:val="TDC2"/>
        <w:tabs>
          <w:tab w:val="right" w:leader="dot" w:pos="8490"/>
        </w:tabs>
      </w:pPr>
      <w:hyperlink w:anchor="_Toc465335449">
        <w:r w:rsidRPr="6E9E5ECF">
          <w:rPr>
            <w:rStyle w:val="Hipervnculo"/>
          </w:rPr>
          <w:t>4.5. Evaluación y análisis de resultados (Fase 5)</w:t>
        </w:r>
        <w:r>
          <w:tab/>
        </w:r>
        <w:r>
          <w:fldChar w:fldCharType="begin"/>
        </w:r>
        <w:r>
          <w:instrText>PAGEREF _Toc465335449 \h</w:instrText>
        </w:r>
        <w:r>
          <w:fldChar w:fldCharType="separate"/>
        </w:r>
        <w:r w:rsidRPr="6E9E5ECF">
          <w:rPr>
            <w:rStyle w:val="Hipervnculo"/>
          </w:rPr>
          <w:t>35</w:t>
        </w:r>
        <w:r>
          <w:fldChar w:fldCharType="end"/>
        </w:r>
      </w:hyperlink>
    </w:p>
    <w:p w:rsidR="6E9E5ECF" w:rsidP="6E9E5ECF" w:rsidRDefault="6E9E5ECF" w14:paraId="301EA517" w14:textId="41FBC743">
      <w:pPr>
        <w:pStyle w:val="TDC3"/>
        <w:tabs>
          <w:tab w:val="right" w:leader="dot" w:pos="8490"/>
        </w:tabs>
      </w:pPr>
      <w:hyperlink w:anchor="_Toc405025390">
        <w:r w:rsidRPr="6E9E5ECF">
          <w:rPr>
            <w:rStyle w:val="Hipervnculo"/>
          </w:rPr>
          <w:t>4.5.1. Inferencia y exportación de predicciones</w:t>
        </w:r>
        <w:r>
          <w:tab/>
        </w:r>
        <w:r>
          <w:fldChar w:fldCharType="begin"/>
        </w:r>
        <w:r>
          <w:instrText>PAGEREF _Toc405025390 \h</w:instrText>
        </w:r>
        <w:r>
          <w:fldChar w:fldCharType="separate"/>
        </w:r>
        <w:r w:rsidRPr="6E9E5ECF">
          <w:rPr>
            <w:rStyle w:val="Hipervnculo"/>
          </w:rPr>
          <w:t>35</w:t>
        </w:r>
        <w:r>
          <w:fldChar w:fldCharType="end"/>
        </w:r>
      </w:hyperlink>
    </w:p>
    <w:p w:rsidR="6E9E5ECF" w:rsidP="6E9E5ECF" w:rsidRDefault="6E9E5ECF" w14:paraId="70FCA3DA" w14:textId="562CEED3">
      <w:pPr>
        <w:pStyle w:val="TDC3"/>
        <w:tabs>
          <w:tab w:val="right" w:leader="dot" w:pos="8490"/>
        </w:tabs>
      </w:pPr>
      <w:hyperlink w:anchor="_Toc2019152793">
        <w:r w:rsidRPr="6E9E5ECF">
          <w:rPr>
            <w:rStyle w:val="Hipervnculo"/>
          </w:rPr>
          <w:t>4.5.2. Métricas de evaluación</w:t>
        </w:r>
        <w:r>
          <w:tab/>
        </w:r>
        <w:r>
          <w:fldChar w:fldCharType="begin"/>
        </w:r>
        <w:r>
          <w:instrText>PAGEREF _Toc2019152793 \h</w:instrText>
        </w:r>
        <w:r>
          <w:fldChar w:fldCharType="separate"/>
        </w:r>
        <w:r w:rsidRPr="6E9E5ECF">
          <w:rPr>
            <w:rStyle w:val="Hipervnculo"/>
          </w:rPr>
          <w:t>35</w:t>
        </w:r>
        <w:r>
          <w:fldChar w:fldCharType="end"/>
        </w:r>
      </w:hyperlink>
    </w:p>
    <w:p w:rsidR="6E9E5ECF" w:rsidP="6E9E5ECF" w:rsidRDefault="6E9E5ECF" w14:paraId="3A1E7CD2" w14:textId="6BB3C57C">
      <w:pPr>
        <w:pStyle w:val="TDC3"/>
        <w:tabs>
          <w:tab w:val="right" w:leader="dot" w:pos="8490"/>
        </w:tabs>
      </w:pPr>
      <w:hyperlink w:anchor="_Toc788620682">
        <w:r w:rsidRPr="6E9E5ECF">
          <w:rPr>
            <w:rStyle w:val="Hipervnculo"/>
          </w:rPr>
          <w:t>4.5.3. Análisis de sensibilidad por sujeto</w:t>
        </w:r>
        <w:r>
          <w:tab/>
        </w:r>
        <w:r>
          <w:fldChar w:fldCharType="begin"/>
        </w:r>
        <w:r>
          <w:instrText>PAGEREF _Toc788620682 \h</w:instrText>
        </w:r>
        <w:r>
          <w:fldChar w:fldCharType="separate"/>
        </w:r>
        <w:r w:rsidRPr="6E9E5ECF">
          <w:rPr>
            <w:rStyle w:val="Hipervnculo"/>
          </w:rPr>
          <w:t>36</w:t>
        </w:r>
        <w:r>
          <w:fldChar w:fldCharType="end"/>
        </w:r>
      </w:hyperlink>
    </w:p>
    <w:p w:rsidR="6E9E5ECF" w:rsidP="6E9E5ECF" w:rsidRDefault="6E9E5ECF" w14:paraId="28513326" w14:textId="45899865">
      <w:pPr>
        <w:pStyle w:val="TDC3"/>
        <w:tabs>
          <w:tab w:val="right" w:leader="dot" w:pos="8490"/>
        </w:tabs>
      </w:pPr>
      <w:hyperlink w:anchor="_Toc369998143">
        <w:r w:rsidRPr="6E9E5ECF">
          <w:rPr>
            <w:rStyle w:val="Hipervnculo"/>
          </w:rPr>
          <w:t>4.5.4. Huella computacional</w:t>
        </w:r>
        <w:r>
          <w:tab/>
        </w:r>
        <w:r>
          <w:fldChar w:fldCharType="begin"/>
        </w:r>
        <w:r>
          <w:instrText>PAGEREF _Toc369998143 \h</w:instrText>
        </w:r>
        <w:r>
          <w:fldChar w:fldCharType="separate"/>
        </w:r>
        <w:r w:rsidRPr="6E9E5ECF">
          <w:rPr>
            <w:rStyle w:val="Hipervnculo"/>
          </w:rPr>
          <w:t>36</w:t>
        </w:r>
        <w:r>
          <w:fldChar w:fldCharType="end"/>
        </w:r>
      </w:hyperlink>
    </w:p>
    <w:p w:rsidR="6E9E5ECF" w:rsidP="6E9E5ECF" w:rsidRDefault="6E9E5ECF" w14:paraId="5689156F" w14:textId="704E3597">
      <w:pPr>
        <w:pStyle w:val="TDC2"/>
        <w:tabs>
          <w:tab w:val="right" w:leader="dot" w:pos="8490"/>
        </w:tabs>
      </w:pPr>
      <w:hyperlink w:anchor="_Toc931392265">
        <w:r w:rsidRPr="6E9E5ECF">
          <w:rPr>
            <w:rStyle w:val="Hipervnculo"/>
          </w:rPr>
          <w:t>4.6. Restricciones y alcance clínico</w:t>
        </w:r>
        <w:r>
          <w:tab/>
        </w:r>
        <w:r>
          <w:fldChar w:fldCharType="begin"/>
        </w:r>
        <w:r>
          <w:instrText>PAGEREF _Toc931392265 \h</w:instrText>
        </w:r>
        <w:r>
          <w:fldChar w:fldCharType="separate"/>
        </w:r>
        <w:r w:rsidRPr="6E9E5ECF">
          <w:rPr>
            <w:rStyle w:val="Hipervnculo"/>
          </w:rPr>
          <w:t>36</w:t>
        </w:r>
        <w:r>
          <w:fldChar w:fldCharType="end"/>
        </w:r>
      </w:hyperlink>
    </w:p>
    <w:p w:rsidR="6E9E5ECF" w:rsidP="6E9E5ECF" w:rsidRDefault="6E9E5ECF" w14:paraId="4E874541" w14:textId="4E1C0352">
      <w:pPr>
        <w:pStyle w:val="TDC1"/>
        <w:tabs>
          <w:tab w:val="right" w:leader="dot" w:pos="8490"/>
        </w:tabs>
      </w:pPr>
      <w:hyperlink w:anchor="_Toc752310574">
        <w:r w:rsidRPr="6E9E5ECF">
          <w:rPr>
            <w:rStyle w:val="Hipervnculo"/>
          </w:rPr>
          <w:t>5. Resultados</w:t>
        </w:r>
        <w:r>
          <w:tab/>
        </w:r>
        <w:r>
          <w:fldChar w:fldCharType="begin"/>
        </w:r>
        <w:r>
          <w:instrText>PAGEREF _Toc752310574 \h</w:instrText>
        </w:r>
        <w:r>
          <w:fldChar w:fldCharType="separate"/>
        </w:r>
        <w:r w:rsidRPr="6E9E5ECF">
          <w:rPr>
            <w:rStyle w:val="Hipervnculo"/>
          </w:rPr>
          <w:t>36</w:t>
        </w:r>
        <w:r>
          <w:fldChar w:fldCharType="end"/>
        </w:r>
      </w:hyperlink>
    </w:p>
    <w:p w:rsidR="6E9E5ECF" w:rsidP="6E9E5ECF" w:rsidRDefault="6E9E5ECF" w14:paraId="38F4BED9" w14:textId="02E39793">
      <w:pPr>
        <w:pStyle w:val="TDC2"/>
        <w:tabs>
          <w:tab w:val="right" w:leader="dot" w:pos="8490"/>
        </w:tabs>
      </w:pPr>
      <w:hyperlink w:anchor="_Toc591682101">
        <w:r w:rsidRPr="6E9E5ECF">
          <w:rPr>
            <w:rStyle w:val="Hipervnculo"/>
          </w:rPr>
          <w:t>5.1. Alcance del análisis y protocolo de reporte</w:t>
        </w:r>
        <w:r>
          <w:tab/>
        </w:r>
        <w:r>
          <w:fldChar w:fldCharType="begin"/>
        </w:r>
        <w:r>
          <w:instrText>PAGEREF _Toc591682101 \h</w:instrText>
        </w:r>
        <w:r>
          <w:fldChar w:fldCharType="separate"/>
        </w:r>
        <w:r w:rsidRPr="6E9E5ECF">
          <w:rPr>
            <w:rStyle w:val="Hipervnculo"/>
          </w:rPr>
          <w:t>37</w:t>
        </w:r>
        <w:r>
          <w:fldChar w:fldCharType="end"/>
        </w:r>
      </w:hyperlink>
    </w:p>
    <w:p w:rsidR="6E9E5ECF" w:rsidP="6E9E5ECF" w:rsidRDefault="6E9E5ECF" w14:paraId="5FDE99CD" w14:textId="57CD30BF">
      <w:pPr>
        <w:pStyle w:val="TDC2"/>
        <w:tabs>
          <w:tab w:val="right" w:leader="dot" w:pos="8490"/>
        </w:tabs>
      </w:pPr>
      <w:hyperlink w:anchor="_Toc1178468853">
        <w:r w:rsidRPr="6E9E5ECF">
          <w:rPr>
            <w:rStyle w:val="Hipervnculo"/>
          </w:rPr>
          <w:t>5.2. Estudio de ablación de las estrategias de fusión</w:t>
        </w:r>
        <w:r>
          <w:tab/>
        </w:r>
        <w:r>
          <w:fldChar w:fldCharType="begin"/>
        </w:r>
        <w:r>
          <w:instrText>PAGEREF _Toc1178468853 \h</w:instrText>
        </w:r>
        <w:r>
          <w:fldChar w:fldCharType="separate"/>
        </w:r>
        <w:r w:rsidRPr="6E9E5ECF">
          <w:rPr>
            <w:rStyle w:val="Hipervnculo"/>
          </w:rPr>
          <w:t>38</w:t>
        </w:r>
        <w:r>
          <w:fldChar w:fldCharType="end"/>
        </w:r>
      </w:hyperlink>
    </w:p>
    <w:p w:rsidR="6E9E5ECF" w:rsidP="6E9E5ECF" w:rsidRDefault="6E9E5ECF" w14:paraId="06DBA5E5" w14:textId="169DBF79">
      <w:pPr>
        <w:pStyle w:val="TDC2"/>
        <w:tabs>
          <w:tab w:val="right" w:leader="dot" w:pos="8490"/>
        </w:tabs>
      </w:pPr>
      <w:hyperlink w:anchor="_Toc788443330">
        <w:r w:rsidRPr="6E9E5ECF">
          <w:rPr>
            <w:rStyle w:val="Hipervnculo"/>
          </w:rPr>
          <w:t>5.3. Comparación descriptiva de arquitecturas</w:t>
        </w:r>
        <w:r>
          <w:tab/>
        </w:r>
        <w:r>
          <w:fldChar w:fldCharType="begin"/>
        </w:r>
        <w:r>
          <w:instrText>PAGEREF _Toc788443330 \h</w:instrText>
        </w:r>
        <w:r>
          <w:fldChar w:fldCharType="separate"/>
        </w:r>
        <w:r w:rsidRPr="6E9E5ECF">
          <w:rPr>
            <w:rStyle w:val="Hipervnculo"/>
          </w:rPr>
          <w:t>39</w:t>
        </w:r>
        <w:r>
          <w:fldChar w:fldCharType="end"/>
        </w:r>
      </w:hyperlink>
    </w:p>
    <w:p w:rsidR="6E9E5ECF" w:rsidP="6E9E5ECF" w:rsidRDefault="6E9E5ECF" w14:paraId="1D6D5A81" w14:textId="063F3EDE">
      <w:pPr>
        <w:pStyle w:val="TDC2"/>
        <w:tabs>
          <w:tab w:val="right" w:leader="dot" w:pos="8490"/>
        </w:tabs>
      </w:pPr>
      <w:hyperlink w:anchor="_Toc1992036306">
        <w:r w:rsidRPr="6E9E5ECF">
          <w:rPr>
            <w:rStyle w:val="Hipervnculo"/>
          </w:rPr>
          <w:t>5.4. Huella computacional</w:t>
        </w:r>
        <w:r>
          <w:tab/>
        </w:r>
        <w:r>
          <w:fldChar w:fldCharType="begin"/>
        </w:r>
        <w:r>
          <w:instrText>PAGEREF _Toc1992036306 \h</w:instrText>
        </w:r>
        <w:r>
          <w:fldChar w:fldCharType="separate"/>
        </w:r>
        <w:r w:rsidRPr="6E9E5ECF">
          <w:rPr>
            <w:rStyle w:val="Hipervnculo"/>
          </w:rPr>
          <w:t>41</w:t>
        </w:r>
        <w:r>
          <w:fldChar w:fldCharType="end"/>
        </w:r>
      </w:hyperlink>
    </w:p>
    <w:p w:rsidR="6E9E5ECF" w:rsidP="6E9E5ECF" w:rsidRDefault="6E9E5ECF" w14:paraId="0454D262" w14:textId="5E3C1863">
      <w:pPr>
        <w:pStyle w:val="TDC2"/>
        <w:tabs>
          <w:tab w:val="right" w:leader="dot" w:pos="8490"/>
        </w:tabs>
      </w:pPr>
      <w:hyperlink w:anchor="_Toc1727863458">
        <w:r w:rsidRPr="6E9E5ECF">
          <w:rPr>
            <w:rStyle w:val="Hipervnculo"/>
          </w:rPr>
          <w:t>5.5. Análisis cualitativo</w:t>
        </w:r>
        <w:r>
          <w:tab/>
        </w:r>
        <w:r>
          <w:fldChar w:fldCharType="begin"/>
        </w:r>
        <w:r>
          <w:instrText>PAGEREF _Toc1727863458 \h</w:instrText>
        </w:r>
        <w:r>
          <w:fldChar w:fldCharType="separate"/>
        </w:r>
        <w:r w:rsidRPr="6E9E5ECF">
          <w:rPr>
            <w:rStyle w:val="Hipervnculo"/>
          </w:rPr>
          <w:t>42</w:t>
        </w:r>
        <w:r>
          <w:fldChar w:fldCharType="end"/>
        </w:r>
      </w:hyperlink>
    </w:p>
    <w:p w:rsidR="6E9E5ECF" w:rsidP="6E9E5ECF" w:rsidRDefault="6E9E5ECF" w14:paraId="630F58EF" w14:textId="22238599">
      <w:pPr>
        <w:pStyle w:val="TDC2"/>
        <w:tabs>
          <w:tab w:val="right" w:leader="dot" w:pos="8490"/>
        </w:tabs>
      </w:pPr>
      <w:hyperlink w:anchor="_Toc1980952468">
        <w:r w:rsidRPr="6E9E5ECF">
          <w:rPr>
            <w:rStyle w:val="Hipervnculo"/>
          </w:rPr>
          <w:t>5.6. Síntesis de los resultados</w:t>
        </w:r>
        <w:r>
          <w:tab/>
        </w:r>
        <w:r>
          <w:fldChar w:fldCharType="begin"/>
        </w:r>
        <w:r>
          <w:instrText>PAGEREF _Toc1980952468 \h</w:instrText>
        </w:r>
        <w:r>
          <w:fldChar w:fldCharType="separate"/>
        </w:r>
        <w:r w:rsidRPr="6E9E5ECF">
          <w:rPr>
            <w:rStyle w:val="Hipervnculo"/>
          </w:rPr>
          <w:t>43</w:t>
        </w:r>
        <w:r>
          <w:fldChar w:fldCharType="end"/>
        </w:r>
      </w:hyperlink>
    </w:p>
    <w:p w:rsidR="6E9E5ECF" w:rsidP="6E9E5ECF" w:rsidRDefault="6E9E5ECF" w14:paraId="67F80D0D" w14:textId="5D913C72">
      <w:pPr>
        <w:pStyle w:val="TDC1"/>
        <w:tabs>
          <w:tab w:val="right" w:leader="dot" w:pos="8490"/>
        </w:tabs>
      </w:pPr>
      <w:hyperlink w:anchor="_Toc252521608">
        <w:r w:rsidRPr="6E9E5ECF">
          <w:rPr>
            <w:rStyle w:val="Hipervnculo"/>
          </w:rPr>
          <w:t>6. Conclusiones</w:t>
        </w:r>
        <w:r>
          <w:tab/>
        </w:r>
        <w:r>
          <w:fldChar w:fldCharType="begin"/>
        </w:r>
        <w:r>
          <w:instrText>PAGEREF _Toc252521608 \h</w:instrText>
        </w:r>
        <w:r>
          <w:fldChar w:fldCharType="separate"/>
        </w:r>
        <w:r w:rsidRPr="6E9E5ECF">
          <w:rPr>
            <w:rStyle w:val="Hipervnculo"/>
          </w:rPr>
          <w:t>44</w:t>
        </w:r>
        <w:r>
          <w:fldChar w:fldCharType="end"/>
        </w:r>
      </w:hyperlink>
    </w:p>
    <w:p w:rsidR="6E9E5ECF" w:rsidP="6E9E5ECF" w:rsidRDefault="6E9E5ECF" w14:paraId="13851D9B" w14:textId="1A3C3B0F">
      <w:pPr>
        <w:pStyle w:val="TDC2"/>
        <w:tabs>
          <w:tab w:val="right" w:leader="dot" w:pos="8490"/>
        </w:tabs>
      </w:pPr>
      <w:hyperlink w:anchor="_Toc1867668642">
        <w:r w:rsidRPr="6E9E5ECF">
          <w:rPr>
            <w:rStyle w:val="Hipervnculo"/>
          </w:rPr>
          <w:t>6.1. Respuesta a la pregunta de investigación</w:t>
        </w:r>
        <w:r>
          <w:tab/>
        </w:r>
        <w:r>
          <w:fldChar w:fldCharType="begin"/>
        </w:r>
        <w:r>
          <w:instrText>PAGEREF _Toc1867668642 \h</w:instrText>
        </w:r>
        <w:r>
          <w:fldChar w:fldCharType="separate"/>
        </w:r>
        <w:r w:rsidRPr="6E9E5ECF">
          <w:rPr>
            <w:rStyle w:val="Hipervnculo"/>
          </w:rPr>
          <w:t>45</w:t>
        </w:r>
        <w:r>
          <w:fldChar w:fldCharType="end"/>
        </w:r>
      </w:hyperlink>
    </w:p>
    <w:p w:rsidR="6E9E5ECF" w:rsidP="6E9E5ECF" w:rsidRDefault="6E9E5ECF" w14:paraId="3959ED4B" w14:textId="69DB2495">
      <w:pPr>
        <w:pStyle w:val="TDC2"/>
        <w:tabs>
          <w:tab w:val="right" w:leader="dot" w:pos="8490"/>
        </w:tabs>
      </w:pPr>
      <w:hyperlink w:anchor="_Toc2008580184">
        <w:r w:rsidRPr="6E9E5ECF">
          <w:rPr>
            <w:rStyle w:val="Hipervnculo"/>
          </w:rPr>
          <w:t>6.2. Grado de cumplimiento de los objetivos</w:t>
        </w:r>
        <w:r>
          <w:tab/>
        </w:r>
        <w:r>
          <w:fldChar w:fldCharType="begin"/>
        </w:r>
        <w:r>
          <w:instrText>PAGEREF _Toc2008580184 \h</w:instrText>
        </w:r>
        <w:r>
          <w:fldChar w:fldCharType="separate"/>
        </w:r>
        <w:r w:rsidRPr="6E9E5ECF">
          <w:rPr>
            <w:rStyle w:val="Hipervnculo"/>
          </w:rPr>
          <w:t>46</w:t>
        </w:r>
        <w:r>
          <w:fldChar w:fldCharType="end"/>
        </w:r>
      </w:hyperlink>
    </w:p>
    <w:p w:rsidR="6E9E5ECF" w:rsidP="6E9E5ECF" w:rsidRDefault="6E9E5ECF" w14:paraId="442CBA0A" w14:textId="5931D74E">
      <w:pPr>
        <w:pStyle w:val="TDC2"/>
        <w:tabs>
          <w:tab w:val="right" w:leader="dot" w:pos="8490"/>
        </w:tabs>
      </w:pPr>
      <w:hyperlink w:anchor="_Toc170043617">
        <w:r w:rsidRPr="6E9E5ECF">
          <w:rPr>
            <w:rStyle w:val="Hipervnculo"/>
          </w:rPr>
          <w:t>6.3. Interpretación de la contribución</w:t>
        </w:r>
        <w:r>
          <w:tab/>
        </w:r>
        <w:r>
          <w:fldChar w:fldCharType="begin"/>
        </w:r>
        <w:r>
          <w:instrText>PAGEREF _Toc170043617 \h</w:instrText>
        </w:r>
        <w:r>
          <w:fldChar w:fldCharType="separate"/>
        </w:r>
        <w:r w:rsidRPr="6E9E5ECF">
          <w:rPr>
            <w:rStyle w:val="Hipervnculo"/>
          </w:rPr>
          <w:t>47</w:t>
        </w:r>
        <w:r>
          <w:fldChar w:fldCharType="end"/>
        </w:r>
      </w:hyperlink>
    </w:p>
    <w:p w:rsidR="6E9E5ECF" w:rsidP="6E9E5ECF" w:rsidRDefault="6E9E5ECF" w14:paraId="68335952" w14:textId="1F966CC5">
      <w:pPr>
        <w:pStyle w:val="TDC2"/>
        <w:tabs>
          <w:tab w:val="right" w:leader="dot" w:pos="8490"/>
        </w:tabs>
      </w:pPr>
      <w:hyperlink w:anchor="_Toc30222883">
        <w:r w:rsidRPr="6E9E5ECF">
          <w:rPr>
            <w:rStyle w:val="Hipervnculo"/>
          </w:rPr>
          <w:t>6.4. Limitaciones</w:t>
        </w:r>
        <w:r>
          <w:tab/>
        </w:r>
        <w:r>
          <w:fldChar w:fldCharType="begin"/>
        </w:r>
        <w:r>
          <w:instrText>PAGEREF _Toc30222883 \h</w:instrText>
        </w:r>
        <w:r>
          <w:fldChar w:fldCharType="separate"/>
        </w:r>
        <w:r w:rsidRPr="6E9E5ECF">
          <w:rPr>
            <w:rStyle w:val="Hipervnculo"/>
          </w:rPr>
          <w:t>48</w:t>
        </w:r>
        <w:r>
          <w:fldChar w:fldCharType="end"/>
        </w:r>
      </w:hyperlink>
    </w:p>
    <w:p w:rsidR="6E9E5ECF" w:rsidP="6E9E5ECF" w:rsidRDefault="6E9E5ECF" w14:paraId="58E9A130" w14:textId="6C6A6FE5">
      <w:pPr>
        <w:pStyle w:val="TDC2"/>
        <w:tabs>
          <w:tab w:val="right" w:leader="dot" w:pos="8490"/>
        </w:tabs>
      </w:pPr>
      <w:hyperlink w:anchor="_Toc1818014410">
        <w:r w:rsidRPr="6E9E5ECF">
          <w:rPr>
            <w:rStyle w:val="Hipervnculo"/>
          </w:rPr>
          <w:t>6.5. Líneas de trabajo futuro</w:t>
        </w:r>
        <w:r>
          <w:tab/>
        </w:r>
        <w:r>
          <w:fldChar w:fldCharType="begin"/>
        </w:r>
        <w:r>
          <w:instrText>PAGEREF _Toc1818014410 \h</w:instrText>
        </w:r>
        <w:r>
          <w:fldChar w:fldCharType="separate"/>
        </w:r>
        <w:r w:rsidRPr="6E9E5ECF">
          <w:rPr>
            <w:rStyle w:val="Hipervnculo"/>
          </w:rPr>
          <w:t>49</w:t>
        </w:r>
        <w:r>
          <w:fldChar w:fldCharType="end"/>
        </w:r>
      </w:hyperlink>
    </w:p>
    <w:p w:rsidR="6E9E5ECF" w:rsidP="6E9E5ECF" w:rsidRDefault="6E9E5ECF" w14:paraId="104C0B29" w14:textId="587D95BC">
      <w:pPr>
        <w:pStyle w:val="TDC1"/>
        <w:tabs>
          <w:tab w:val="right" w:leader="dot" w:pos="8490"/>
        </w:tabs>
      </w:pPr>
      <w:hyperlink w:anchor="_Toc60319615">
        <w:r w:rsidRPr="6E9E5ECF">
          <w:rPr>
            <w:rStyle w:val="Hipervnculo"/>
          </w:rPr>
          <w:t>Referencias bibliográficas</w:t>
        </w:r>
        <w:r>
          <w:tab/>
        </w:r>
        <w:r>
          <w:fldChar w:fldCharType="begin"/>
        </w:r>
        <w:r>
          <w:instrText>PAGEREF _Toc60319615 \h</w:instrText>
        </w:r>
        <w:r>
          <w:fldChar w:fldCharType="separate"/>
        </w:r>
        <w:r w:rsidRPr="6E9E5ECF">
          <w:rPr>
            <w:rStyle w:val="Hipervnculo"/>
          </w:rPr>
          <w:t>50</w:t>
        </w:r>
        <w:r>
          <w:fldChar w:fldCharType="end"/>
        </w:r>
      </w:hyperlink>
    </w:p>
    <w:p w:rsidR="6E9E5ECF" w:rsidP="6E9E5ECF" w:rsidRDefault="6E9E5ECF" w14:paraId="5E1276C9" w14:textId="73C3A580">
      <w:pPr>
        <w:pStyle w:val="TDC1"/>
        <w:tabs>
          <w:tab w:val="right" w:leader="dot" w:pos="8490"/>
        </w:tabs>
      </w:pPr>
      <w:hyperlink w:anchor="_Toc836904884">
        <w:r w:rsidRPr="6E9E5ECF">
          <w:rPr>
            <w:rStyle w:val="Hipervnculo"/>
          </w:rPr>
          <w:t>Apéndice A. Reproducibilidad</w:t>
        </w:r>
        <w:r>
          <w:tab/>
        </w:r>
        <w:r>
          <w:fldChar w:fldCharType="begin"/>
        </w:r>
        <w:r>
          <w:instrText>PAGEREF _Toc836904884 \h</w:instrText>
        </w:r>
        <w:r>
          <w:fldChar w:fldCharType="separate"/>
        </w:r>
        <w:r w:rsidRPr="6E9E5ECF">
          <w:rPr>
            <w:rStyle w:val="Hipervnculo"/>
          </w:rPr>
          <w:t>53</w:t>
        </w:r>
        <w:r>
          <w:fldChar w:fldCharType="end"/>
        </w:r>
      </w:hyperlink>
    </w:p>
    <w:p w:rsidR="6E9E5ECF" w:rsidP="6E9E5ECF" w:rsidRDefault="6E9E5ECF" w14:paraId="73FFF509" w14:textId="275D5AF0">
      <w:pPr>
        <w:pStyle w:val="TDC2"/>
        <w:tabs>
          <w:tab w:val="right" w:leader="dot" w:pos="8490"/>
        </w:tabs>
      </w:pPr>
      <w:hyperlink w:anchor="_Toc1772996135">
        <w:r w:rsidRPr="6E9E5ECF">
          <w:rPr>
            <w:rStyle w:val="Hipervnculo"/>
          </w:rPr>
          <w:t>A.1. Repositorio y versión de entrega</w:t>
        </w:r>
        <w:r>
          <w:tab/>
        </w:r>
        <w:r>
          <w:fldChar w:fldCharType="begin"/>
        </w:r>
        <w:r>
          <w:instrText>PAGEREF _Toc1772996135 \h</w:instrText>
        </w:r>
        <w:r>
          <w:fldChar w:fldCharType="separate"/>
        </w:r>
        <w:r w:rsidRPr="6E9E5ECF">
          <w:rPr>
            <w:rStyle w:val="Hipervnculo"/>
          </w:rPr>
          <w:t>54</w:t>
        </w:r>
        <w:r>
          <w:fldChar w:fldCharType="end"/>
        </w:r>
      </w:hyperlink>
    </w:p>
    <w:p w:rsidR="6E9E5ECF" w:rsidP="6E9E5ECF" w:rsidRDefault="6E9E5ECF" w14:paraId="4BBED450" w14:textId="30170E26">
      <w:pPr>
        <w:pStyle w:val="TDC2"/>
        <w:tabs>
          <w:tab w:val="right" w:leader="dot" w:pos="8490"/>
        </w:tabs>
      </w:pPr>
      <w:hyperlink w:anchor="_Toc676996753">
        <w:r w:rsidRPr="6E9E5ECF">
          <w:rPr>
            <w:rStyle w:val="Hipervnculo"/>
          </w:rPr>
          <w:t>A.2. Entorno</w:t>
        </w:r>
        <w:r>
          <w:tab/>
        </w:r>
        <w:r>
          <w:fldChar w:fldCharType="begin"/>
        </w:r>
        <w:r>
          <w:instrText>PAGEREF _Toc676996753 \h</w:instrText>
        </w:r>
        <w:r>
          <w:fldChar w:fldCharType="separate"/>
        </w:r>
        <w:r w:rsidRPr="6E9E5ECF">
          <w:rPr>
            <w:rStyle w:val="Hipervnculo"/>
          </w:rPr>
          <w:t>54</w:t>
        </w:r>
        <w:r>
          <w:fldChar w:fldCharType="end"/>
        </w:r>
      </w:hyperlink>
    </w:p>
    <w:p w:rsidR="6E9E5ECF" w:rsidP="6E9E5ECF" w:rsidRDefault="6E9E5ECF" w14:paraId="67E9BAB1" w14:textId="72019CB1">
      <w:pPr>
        <w:pStyle w:val="TDC2"/>
        <w:tabs>
          <w:tab w:val="right" w:leader="dot" w:pos="8490"/>
        </w:tabs>
      </w:pPr>
      <w:hyperlink w:anchor="_Toc1875663235">
        <w:r w:rsidRPr="6E9E5ECF">
          <w:rPr>
            <w:rStyle w:val="Hipervnculo"/>
          </w:rPr>
          <w:t>A.3. Control de calidad y particiones</w:t>
        </w:r>
        <w:r>
          <w:tab/>
        </w:r>
        <w:r>
          <w:fldChar w:fldCharType="begin"/>
        </w:r>
        <w:r>
          <w:instrText>PAGEREF _Toc1875663235 \h</w:instrText>
        </w:r>
        <w:r>
          <w:fldChar w:fldCharType="separate"/>
        </w:r>
        <w:r w:rsidRPr="6E9E5ECF">
          <w:rPr>
            <w:rStyle w:val="Hipervnculo"/>
          </w:rPr>
          <w:t>54</w:t>
        </w:r>
        <w:r>
          <w:fldChar w:fldCharType="end"/>
        </w:r>
      </w:hyperlink>
    </w:p>
    <w:p w:rsidR="6E9E5ECF" w:rsidP="6E9E5ECF" w:rsidRDefault="6E9E5ECF" w14:paraId="629182A9" w14:textId="79CD09EC">
      <w:pPr>
        <w:pStyle w:val="TDC2"/>
        <w:tabs>
          <w:tab w:val="right" w:leader="dot" w:pos="8490"/>
        </w:tabs>
      </w:pPr>
      <w:hyperlink w:anchor="_Toc1979256580">
        <w:r w:rsidRPr="6E9E5ECF">
          <w:rPr>
            <w:rStyle w:val="Hipervnculo"/>
          </w:rPr>
          <w:t>A.4. Entrenamiento, inferencia y evaluación MONAI</w:t>
        </w:r>
        <w:r>
          <w:tab/>
        </w:r>
        <w:r>
          <w:fldChar w:fldCharType="begin"/>
        </w:r>
        <w:r>
          <w:instrText>PAGEREF _Toc1979256580 \h</w:instrText>
        </w:r>
        <w:r>
          <w:fldChar w:fldCharType="separate"/>
        </w:r>
        <w:r w:rsidRPr="6E9E5ECF">
          <w:rPr>
            <w:rStyle w:val="Hipervnculo"/>
          </w:rPr>
          <w:t>55</w:t>
        </w:r>
        <w:r>
          <w:fldChar w:fldCharType="end"/>
        </w:r>
      </w:hyperlink>
    </w:p>
    <w:p w:rsidR="6E9E5ECF" w:rsidP="6E9E5ECF" w:rsidRDefault="6E9E5ECF" w14:paraId="6E0D56A2" w14:textId="5EC74134">
      <w:pPr>
        <w:pStyle w:val="TDC2"/>
        <w:tabs>
          <w:tab w:val="right" w:leader="dot" w:pos="8490"/>
        </w:tabs>
      </w:pPr>
      <w:hyperlink w:anchor="_Toc1083260297">
        <w:r w:rsidRPr="6E9E5ECF">
          <w:rPr>
            <w:rStyle w:val="Hipervnculo"/>
          </w:rPr>
          <w:t>A.5. Ruta externa nnU-Net</w:t>
        </w:r>
        <w:r>
          <w:tab/>
        </w:r>
        <w:r>
          <w:fldChar w:fldCharType="begin"/>
        </w:r>
        <w:r>
          <w:instrText>PAGEREF _Toc1083260297 \h</w:instrText>
        </w:r>
        <w:r>
          <w:fldChar w:fldCharType="separate"/>
        </w:r>
        <w:r w:rsidRPr="6E9E5ECF">
          <w:rPr>
            <w:rStyle w:val="Hipervnculo"/>
          </w:rPr>
          <w:t>55</w:t>
        </w:r>
        <w:r>
          <w:fldChar w:fldCharType="end"/>
        </w:r>
      </w:hyperlink>
    </w:p>
    <w:p w:rsidR="6E9E5ECF" w:rsidP="6E9E5ECF" w:rsidRDefault="6E9E5ECF" w14:paraId="03A6E725" w14:textId="232FD348">
      <w:pPr>
        <w:pStyle w:val="TDC2"/>
        <w:tabs>
          <w:tab w:val="right" w:leader="dot" w:pos="8490"/>
        </w:tabs>
      </w:pPr>
      <w:hyperlink w:anchor="_Toc460052290">
        <w:r w:rsidRPr="6E9E5ECF">
          <w:rPr>
            <w:rStyle w:val="Hipervnculo"/>
          </w:rPr>
          <w:t>A.6. Verificación y figuras</w:t>
        </w:r>
        <w:r>
          <w:tab/>
        </w:r>
        <w:r>
          <w:fldChar w:fldCharType="begin"/>
        </w:r>
        <w:r>
          <w:instrText>PAGEREF _Toc460052290 \h</w:instrText>
        </w:r>
        <w:r>
          <w:fldChar w:fldCharType="separate"/>
        </w:r>
        <w:r w:rsidRPr="6E9E5ECF">
          <w:rPr>
            <w:rStyle w:val="Hipervnculo"/>
          </w:rPr>
          <w:t>56</w:t>
        </w:r>
        <w:r>
          <w:fldChar w:fldCharType="end"/>
        </w:r>
      </w:hyperlink>
    </w:p>
    <w:p w:rsidR="6E9E5ECF" w:rsidP="6E9E5ECF" w:rsidRDefault="6E9E5ECF" w14:paraId="39C1C09E" w14:textId="14431870">
      <w:pPr>
        <w:pStyle w:val="TDC2"/>
        <w:tabs>
          <w:tab w:val="right" w:leader="dot" w:pos="8490"/>
        </w:tabs>
      </w:pPr>
      <w:hyperlink w:anchor="_Toc906817442">
        <w:r w:rsidRPr="6E9E5ECF">
          <w:rPr>
            <w:rStyle w:val="Hipervnculo"/>
          </w:rPr>
          <w:t>A.7. Artefactos y política de versionado</w:t>
        </w:r>
        <w:r>
          <w:tab/>
        </w:r>
        <w:r>
          <w:fldChar w:fldCharType="begin"/>
        </w:r>
        <w:r>
          <w:instrText>PAGEREF _Toc906817442 \h</w:instrText>
        </w:r>
        <w:r>
          <w:fldChar w:fldCharType="separate"/>
        </w:r>
        <w:r w:rsidRPr="6E9E5ECF">
          <w:rPr>
            <w:rStyle w:val="Hipervnculo"/>
          </w:rPr>
          <w:t>56</w:t>
        </w:r>
        <w:r>
          <w:fldChar w:fldCharType="end"/>
        </w:r>
      </w:hyperlink>
    </w:p>
    <w:p w:rsidR="6E9E5ECF" w:rsidP="6E9E5ECF" w:rsidRDefault="6E9E5ECF" w14:paraId="230F2C84" w14:textId="029067FC">
      <w:pPr>
        <w:pStyle w:val="TDC2"/>
        <w:tabs>
          <w:tab w:val="right" w:leader="dot" w:pos="8490"/>
        </w:tabs>
      </w:pPr>
      <w:hyperlink w:anchor="_Toc349370203">
        <w:r w:rsidRPr="6E9E5ECF">
          <w:rPr>
            <w:rStyle w:val="Hipervnculo"/>
          </w:rPr>
          <w:t>A.8. Condiciones de acceso a los datos y límites de reproducción</w:t>
        </w:r>
        <w:r>
          <w:tab/>
        </w:r>
        <w:r>
          <w:fldChar w:fldCharType="begin"/>
        </w:r>
        <w:r>
          <w:instrText>PAGEREF _Toc349370203 \h</w:instrText>
        </w:r>
        <w:r>
          <w:fldChar w:fldCharType="separate"/>
        </w:r>
        <w:r w:rsidRPr="6E9E5ECF">
          <w:rPr>
            <w:rStyle w:val="Hipervnculo"/>
          </w:rPr>
          <w:t>57</w:t>
        </w:r>
        <w:r>
          <w:fldChar w:fldCharType="end"/>
        </w:r>
      </w:hyperlink>
    </w:p>
    <w:p w:rsidR="6E9E5ECF" w:rsidP="6E9E5ECF" w:rsidRDefault="6E9E5ECF" w14:paraId="60B8274A" w14:textId="0152FC0D">
      <w:pPr>
        <w:pStyle w:val="TDC1"/>
      </w:pPr>
      <w:r>
        <w:fldChar w:fldCharType="end"/>
      </w:r>
    </w:p>
    <w:p w:rsidR="00914FAA" w:rsidRDefault="000E7DA8" w14:paraId="485F4591" w14:textId="77777777">
      <w:pPr>
        <w:pStyle w:val="TtuloTDC"/>
        <w:pageBreakBefore/>
        <w:spacing w:after="240"/>
      </w:pPr>
      <w:bookmarkStart w:name="_Toc614631962" w:id="6"/>
      <w:r>
        <w:lastRenderedPageBreak/>
        <w:t>Índice de figuras</w:t>
      </w:r>
      <w:bookmarkEnd w:id="6"/>
    </w:p>
    <w:proofErr w:type="spellEnd"/>
    <w:p w:rsidR="009F2D14" w:rsidRDefault="000E7DA8" w14:paraId="1F9FFDFA" w14:textId="7ECC5B9B">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r>
        <w:fldChar w:fldCharType="begin"/>
      </w:r>
      <w:r>
        <w:instrText xml:space="preserve"> TOC \c "Figura" \h \z </w:instrText>
      </w:r>
      <w:r>
        <w:fldChar w:fldCharType="separate"/>
      </w:r>
      <w:hyperlink w:history="1" w:anchor="_Toc235507345">
        <w:r w:rsidRPr="003C1F81" w:rsidR="009F2D14">
          <w:rPr>
            <w:rStyle w:val="Hipervnculo"/>
            <w:b/>
            <w:noProof/>
          </w:rPr>
          <w:t xml:space="preserve">Figura 1. </w:t>
        </w:r>
        <w:r w:rsidRPr="003C1F81" w:rsidR="009F2D14">
          <w:rPr>
            <w:rStyle w:val="Hipervnculo"/>
            <w:noProof/>
          </w:rPr>
          <w:t>Visión global del sistema: BraTS-GLI 2024, control de calidad y particiones; carga y preprocesamiento; ramas MONAI para Residual U-Net con fusión, Attention U-Net y Swin-UNETR, junto con la rama externa nnU-Net; y generación de predicciones y evaluación común.</w:t>
        </w:r>
        <w:r w:rsidR="009F2D14">
          <w:rPr>
            <w:noProof/>
            <w:webHidden/>
          </w:rPr>
          <w:tab/>
        </w:r>
        <w:r w:rsidR="009F2D14">
          <w:rPr>
            <w:noProof/>
            <w:webHidden/>
          </w:rPr>
          <w:fldChar w:fldCharType="begin"/>
        </w:r>
        <w:r w:rsidR="009F2D14">
          <w:rPr>
            <w:noProof/>
            <w:webHidden/>
          </w:rPr>
          <w:instrText xml:space="preserve"> PAGEREF _Toc235507345 \h </w:instrText>
        </w:r>
        <w:r w:rsidR="009F2D14">
          <w:rPr>
            <w:noProof/>
            <w:webHidden/>
          </w:rPr>
        </w:r>
        <w:r w:rsidR="009F2D14">
          <w:rPr>
            <w:noProof/>
            <w:webHidden/>
          </w:rPr>
          <w:fldChar w:fldCharType="separate"/>
        </w:r>
        <w:r w:rsidR="009F2D14">
          <w:rPr>
            <w:noProof/>
            <w:webHidden/>
          </w:rPr>
          <w:t>31</w:t>
        </w:r>
        <w:r w:rsidR="009F2D14">
          <w:rPr>
            <w:noProof/>
            <w:webHidden/>
          </w:rPr>
          <w:fldChar w:fldCharType="end"/>
        </w:r>
      </w:hyperlink>
    </w:p>
    <w:p w:rsidR="009F2D14" w:rsidRDefault="009F2D14" w14:paraId="57DF2966" w14:textId="2C14A67E">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46">
        <w:r w:rsidRPr="003C1F81">
          <w:rPr>
            <w:rStyle w:val="Hipervnculo"/>
            <w:b/>
            <w:noProof/>
          </w:rPr>
          <w:t xml:space="preserve">Figura 2. </w:t>
        </w:r>
        <w:r w:rsidRPr="003C1F81">
          <w:rPr>
            <w:rStyle w:val="Hipervnculo"/>
            <w:noProof/>
          </w:rPr>
          <w:t>Arquitectura de la ablación: cuatro modalidades, bloque de fusión anterior al codificador, Residual U-Net común y tres canales de salida. El detalle de la compuerta muestra la obtención de pesos globales por modalidad a partir de descriptores de la entrada.</w:t>
        </w:r>
        <w:r>
          <w:rPr>
            <w:noProof/>
            <w:webHidden/>
          </w:rPr>
          <w:tab/>
        </w:r>
        <w:r>
          <w:rPr>
            <w:noProof/>
            <w:webHidden/>
          </w:rPr>
          <w:fldChar w:fldCharType="begin"/>
        </w:r>
        <w:r>
          <w:rPr>
            <w:noProof/>
            <w:webHidden/>
          </w:rPr>
          <w:instrText xml:space="preserve"> PAGEREF _Toc235507346 \h </w:instrText>
        </w:r>
        <w:r>
          <w:rPr>
            <w:noProof/>
            <w:webHidden/>
          </w:rPr>
        </w:r>
        <w:r>
          <w:rPr>
            <w:noProof/>
            <w:webHidden/>
          </w:rPr>
          <w:fldChar w:fldCharType="separate"/>
        </w:r>
        <w:r>
          <w:rPr>
            <w:noProof/>
            <w:webHidden/>
          </w:rPr>
          <w:t>34</w:t>
        </w:r>
        <w:r>
          <w:rPr>
            <w:noProof/>
            <w:webHidden/>
          </w:rPr>
          <w:fldChar w:fldCharType="end"/>
        </w:r>
      </w:hyperlink>
    </w:p>
    <w:p w:rsidR="009F2D14" w:rsidRDefault="009F2D14" w14:paraId="27441622" w14:textId="5C6EB488">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47">
        <w:r w:rsidRPr="003C1F81">
          <w:rPr>
            <w:rStyle w:val="Hipervnculo"/>
            <w:b/>
            <w:noProof/>
          </w:rPr>
          <w:t xml:space="preserve">Figura 3. </w:t>
        </w:r>
        <w:r w:rsidRPr="003C1F81">
          <w:rPr>
            <w:rStyle w:val="Hipervnculo"/>
            <w:noProof/>
          </w:rPr>
          <w:t>Comparación cualitativa sobre el estudio BraTS-GLI-02273-100, en el corte axial de mayor extensión de WT. De izquierda a derecha: referencia manual, nnU-Net, Swin-UNETR, Attention U-Net y Residual U-Net con concatenación. Las configuraciones MONAI mostradas corresponden a la semilla 20260526.</w:t>
        </w:r>
        <w:r>
          <w:rPr>
            <w:noProof/>
            <w:webHidden/>
          </w:rPr>
          <w:tab/>
        </w:r>
        <w:r>
          <w:rPr>
            <w:noProof/>
            <w:webHidden/>
          </w:rPr>
          <w:fldChar w:fldCharType="begin"/>
        </w:r>
        <w:r>
          <w:rPr>
            <w:noProof/>
            <w:webHidden/>
          </w:rPr>
          <w:instrText xml:space="preserve"> PAGEREF _Toc235507347 \h </w:instrText>
        </w:r>
        <w:r>
          <w:rPr>
            <w:noProof/>
            <w:webHidden/>
          </w:rPr>
        </w:r>
        <w:r>
          <w:rPr>
            <w:noProof/>
            <w:webHidden/>
          </w:rPr>
          <w:fldChar w:fldCharType="separate"/>
        </w:r>
        <w:r>
          <w:rPr>
            <w:noProof/>
            <w:webHidden/>
          </w:rPr>
          <w:t>45</w:t>
        </w:r>
        <w:r>
          <w:rPr>
            <w:noProof/>
            <w:webHidden/>
          </w:rPr>
          <w:fldChar w:fldCharType="end"/>
        </w:r>
      </w:hyperlink>
    </w:p>
    <w:p w:rsidR="009F2D14" w:rsidRDefault="009F2D14" w14:paraId="7A11D54A" w14:textId="00C69DEC">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48">
        <w:r w:rsidRPr="003C1F81">
          <w:rPr>
            <w:rStyle w:val="Hipervnculo"/>
            <w:b/>
            <w:noProof/>
          </w:rPr>
          <w:t xml:space="preserve">Figura 4. </w:t>
        </w:r>
        <w:r w:rsidRPr="003C1F81">
          <w:rPr>
            <w:rStyle w:val="Hipervnculo"/>
            <w:noProof/>
          </w:rPr>
          <w:t>Ejemplo cualitativo de una corrida de bajo rendimiento de adaptive_gating. De izquierda a derecha: referencia manual, concatenación (semilla 20260526) y compuerta adaptativa (semilla 20260528).</w:t>
        </w:r>
        <w:r>
          <w:rPr>
            <w:noProof/>
            <w:webHidden/>
          </w:rPr>
          <w:tab/>
        </w:r>
        <w:r>
          <w:rPr>
            <w:noProof/>
            <w:webHidden/>
          </w:rPr>
          <w:fldChar w:fldCharType="begin"/>
        </w:r>
        <w:r>
          <w:rPr>
            <w:noProof/>
            <w:webHidden/>
          </w:rPr>
          <w:instrText xml:space="preserve"> PAGEREF _Toc235507348 \h </w:instrText>
        </w:r>
        <w:r>
          <w:rPr>
            <w:noProof/>
            <w:webHidden/>
          </w:rPr>
        </w:r>
        <w:r>
          <w:rPr>
            <w:noProof/>
            <w:webHidden/>
          </w:rPr>
          <w:fldChar w:fldCharType="separate"/>
        </w:r>
        <w:r>
          <w:rPr>
            <w:noProof/>
            <w:webHidden/>
          </w:rPr>
          <w:t>45</w:t>
        </w:r>
        <w:r>
          <w:rPr>
            <w:noProof/>
            <w:webHidden/>
          </w:rPr>
          <w:fldChar w:fldCharType="end"/>
        </w:r>
      </w:hyperlink>
    </w:p>
    <w:p w:rsidR="00914FAA" w:rsidRDefault="000E7DA8" w14:paraId="09FC9F4D" w14:textId="193067E7">
      <w:pPr>
        <w:jc w:val="left"/>
      </w:pPr>
      <w:r>
        <w:fldChar w:fldCharType="end"/>
      </w:r>
      <w:proofErr w:type="spellStart"/>
    </w:p>
    <w:p w:rsidR="00914FAA" w:rsidRDefault="000E7DA8" w14:paraId="3B77F55C" w14:textId="77777777">
      <w:pPr>
        <w:pStyle w:val="TtuloTDC"/>
        <w:pageBreakBefore/>
        <w:spacing w:after="240"/>
      </w:pPr>
      <w:bookmarkStart w:name="_Toc1276951725" w:id="7"/>
      <w:r>
        <w:lastRenderedPageBreak/>
        <w:t>Índice de tablas</w:t>
      </w:r>
      <w:bookmarkEnd w:id="7"/>
    </w:p>
    <w:proofErr w:type="spellEnd"/>
    <w:p w:rsidR="00D6130F" w:rsidRDefault="000E7DA8" w14:paraId="695D4279" w14:textId="43909D84">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r>
        <w:fldChar w:fldCharType="begin"/>
      </w:r>
      <w:r>
        <w:instrText xml:space="preserve"> TOC \c "Tabla" \h \z </w:instrText>
      </w:r>
      <w:r>
        <w:fldChar w:fldCharType="separate"/>
      </w:r>
      <w:hyperlink w:history="1" w:anchor="_Toc235507359">
        <w:r w:rsidRPr="00036508" w:rsidR="00D6130F">
          <w:rPr>
            <w:rStyle w:val="Hipervnculo"/>
            <w:b/>
            <w:noProof/>
          </w:rPr>
          <w:t xml:space="preserve">Tabla 1. </w:t>
        </w:r>
        <w:r w:rsidRPr="00036508" w:rsidR="00D6130F">
          <w:rPr>
            <w:rStyle w:val="Hipervnculo"/>
            <w:noProof/>
          </w:rPr>
          <w:t>Etapas de fusión multimodal en segmentación de imagen médica.</w:t>
        </w:r>
        <w:r w:rsidR="00D6130F">
          <w:rPr>
            <w:noProof/>
            <w:webHidden/>
          </w:rPr>
          <w:tab/>
        </w:r>
        <w:r w:rsidR="00D6130F">
          <w:rPr>
            <w:noProof/>
            <w:webHidden/>
          </w:rPr>
          <w:fldChar w:fldCharType="begin"/>
        </w:r>
        <w:r w:rsidR="00D6130F">
          <w:rPr>
            <w:noProof/>
            <w:webHidden/>
          </w:rPr>
          <w:instrText xml:space="preserve"> PAGEREF _Toc235507359 \h </w:instrText>
        </w:r>
        <w:r w:rsidR="00D6130F">
          <w:rPr>
            <w:noProof/>
            <w:webHidden/>
          </w:rPr>
        </w:r>
        <w:r w:rsidR="00D6130F">
          <w:rPr>
            <w:noProof/>
            <w:webHidden/>
          </w:rPr>
          <w:fldChar w:fldCharType="separate"/>
        </w:r>
        <w:r w:rsidR="00D6130F">
          <w:rPr>
            <w:noProof/>
            <w:webHidden/>
          </w:rPr>
          <w:t>19</w:t>
        </w:r>
        <w:r w:rsidR="00D6130F">
          <w:rPr>
            <w:noProof/>
            <w:webHidden/>
          </w:rPr>
          <w:fldChar w:fldCharType="end"/>
        </w:r>
      </w:hyperlink>
    </w:p>
    <w:p w:rsidR="00D6130F" w:rsidRDefault="00D6130F" w14:paraId="39CC01EF" w14:textId="3F5A96B2">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60">
        <w:r w:rsidRPr="00036508">
          <w:rPr>
            <w:rStyle w:val="Hipervnculo"/>
            <w:b/>
            <w:noProof/>
          </w:rPr>
          <w:t xml:space="preserve">Tabla 2. </w:t>
        </w:r>
        <w:r w:rsidRPr="00036508">
          <w:rPr>
            <w:rStyle w:val="Hipervnculo"/>
            <w:noProof/>
          </w:rPr>
          <w:t>Comparación de implementaciones y repositorios relevantes para el TFM.</w:t>
        </w:r>
        <w:r>
          <w:rPr>
            <w:noProof/>
            <w:webHidden/>
          </w:rPr>
          <w:tab/>
        </w:r>
        <w:r>
          <w:rPr>
            <w:noProof/>
            <w:webHidden/>
          </w:rPr>
          <w:fldChar w:fldCharType="begin"/>
        </w:r>
        <w:r>
          <w:rPr>
            <w:noProof/>
            <w:webHidden/>
          </w:rPr>
          <w:instrText xml:space="preserve"> PAGEREF _Toc235507360 \h </w:instrText>
        </w:r>
        <w:r>
          <w:rPr>
            <w:noProof/>
            <w:webHidden/>
          </w:rPr>
        </w:r>
        <w:r>
          <w:rPr>
            <w:noProof/>
            <w:webHidden/>
          </w:rPr>
          <w:fldChar w:fldCharType="separate"/>
        </w:r>
        <w:r>
          <w:rPr>
            <w:noProof/>
            <w:webHidden/>
          </w:rPr>
          <w:t>23</w:t>
        </w:r>
        <w:r>
          <w:rPr>
            <w:noProof/>
            <w:webHidden/>
          </w:rPr>
          <w:fldChar w:fldCharType="end"/>
        </w:r>
      </w:hyperlink>
    </w:p>
    <w:p w:rsidR="00D6130F" w:rsidRDefault="00D6130F" w14:paraId="62730FD4" w14:textId="611AC511">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61">
        <w:r w:rsidRPr="00036508">
          <w:rPr>
            <w:rStyle w:val="Hipervnculo"/>
            <w:b/>
            <w:noProof/>
          </w:rPr>
          <w:t xml:space="preserve">Tabla 3. </w:t>
        </w:r>
        <w:r w:rsidRPr="00036508">
          <w:rPr>
            <w:rStyle w:val="Hipervnculo"/>
            <w:noProof/>
          </w:rPr>
          <w:t>Fases de la metodología ad hoc y actividades principales de cada una.</w:t>
        </w:r>
        <w:r>
          <w:rPr>
            <w:noProof/>
            <w:webHidden/>
          </w:rPr>
          <w:tab/>
        </w:r>
        <w:r>
          <w:rPr>
            <w:noProof/>
            <w:webHidden/>
          </w:rPr>
          <w:fldChar w:fldCharType="begin"/>
        </w:r>
        <w:r>
          <w:rPr>
            <w:noProof/>
            <w:webHidden/>
          </w:rPr>
          <w:instrText xml:space="preserve"> PAGEREF _Toc235507361 \h </w:instrText>
        </w:r>
        <w:r>
          <w:rPr>
            <w:noProof/>
            <w:webHidden/>
          </w:rPr>
        </w:r>
        <w:r>
          <w:rPr>
            <w:noProof/>
            <w:webHidden/>
          </w:rPr>
          <w:fldChar w:fldCharType="separate"/>
        </w:r>
        <w:r>
          <w:rPr>
            <w:noProof/>
            <w:webHidden/>
          </w:rPr>
          <w:t>26</w:t>
        </w:r>
        <w:r>
          <w:rPr>
            <w:noProof/>
            <w:webHidden/>
          </w:rPr>
          <w:fldChar w:fldCharType="end"/>
        </w:r>
      </w:hyperlink>
    </w:p>
    <w:p w:rsidR="00D6130F" w:rsidRDefault="00D6130F" w14:paraId="73332855" w14:textId="36251BC8">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62">
        <w:r w:rsidRPr="00036508">
          <w:rPr>
            <w:rStyle w:val="Hipervnculo"/>
            <w:b/>
            <w:noProof/>
          </w:rPr>
          <w:t xml:space="preserve">Tabla 4. </w:t>
        </w:r>
        <w:r w:rsidRPr="00036508">
          <w:rPr>
            <w:rStyle w:val="Hipervnculo"/>
            <w:noProof/>
          </w:rPr>
          <w:t>Correspondencia entre las fases de la metodología (Capítulo 3) y las secciones de desarrollo técnico (Capítulo 4).</w:t>
        </w:r>
        <w:r>
          <w:rPr>
            <w:noProof/>
            <w:webHidden/>
          </w:rPr>
          <w:tab/>
        </w:r>
        <w:r>
          <w:rPr>
            <w:noProof/>
            <w:webHidden/>
          </w:rPr>
          <w:fldChar w:fldCharType="begin"/>
        </w:r>
        <w:r>
          <w:rPr>
            <w:noProof/>
            <w:webHidden/>
          </w:rPr>
          <w:instrText xml:space="preserve"> PAGEREF _Toc235507362 \h </w:instrText>
        </w:r>
        <w:r>
          <w:rPr>
            <w:noProof/>
            <w:webHidden/>
          </w:rPr>
        </w:r>
        <w:r>
          <w:rPr>
            <w:noProof/>
            <w:webHidden/>
          </w:rPr>
          <w:fldChar w:fldCharType="separate"/>
        </w:r>
        <w:r>
          <w:rPr>
            <w:noProof/>
            <w:webHidden/>
          </w:rPr>
          <w:t>27</w:t>
        </w:r>
        <w:r>
          <w:rPr>
            <w:noProof/>
            <w:webHidden/>
          </w:rPr>
          <w:fldChar w:fldCharType="end"/>
        </w:r>
      </w:hyperlink>
    </w:p>
    <w:p w:rsidR="00D6130F" w:rsidRDefault="00D6130F" w14:paraId="0C9F2970" w14:textId="5E703EE6">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63">
        <w:r w:rsidRPr="00036508">
          <w:rPr>
            <w:rStyle w:val="Hipervnculo"/>
            <w:b/>
            <w:noProof/>
          </w:rPr>
          <w:t xml:space="preserve">Tabla 5. </w:t>
        </w:r>
        <w:r w:rsidRPr="00036508">
          <w:rPr>
            <w:rStyle w:val="Hipervnculo"/>
            <w:noProof/>
          </w:rPr>
          <w:t>Cronograma del proyecto por fases y actividades.</w:t>
        </w:r>
        <w:r>
          <w:rPr>
            <w:noProof/>
            <w:webHidden/>
          </w:rPr>
          <w:tab/>
        </w:r>
        <w:r>
          <w:rPr>
            <w:noProof/>
            <w:webHidden/>
          </w:rPr>
          <w:fldChar w:fldCharType="begin"/>
        </w:r>
        <w:r>
          <w:rPr>
            <w:noProof/>
            <w:webHidden/>
          </w:rPr>
          <w:instrText xml:space="preserve"> PAGEREF _Toc235507363 \h </w:instrText>
        </w:r>
        <w:r>
          <w:rPr>
            <w:noProof/>
            <w:webHidden/>
          </w:rPr>
        </w:r>
        <w:r>
          <w:rPr>
            <w:noProof/>
            <w:webHidden/>
          </w:rPr>
          <w:fldChar w:fldCharType="separate"/>
        </w:r>
        <w:r>
          <w:rPr>
            <w:noProof/>
            <w:webHidden/>
          </w:rPr>
          <w:t>27</w:t>
        </w:r>
        <w:r>
          <w:rPr>
            <w:noProof/>
            <w:webHidden/>
          </w:rPr>
          <w:fldChar w:fldCharType="end"/>
        </w:r>
      </w:hyperlink>
    </w:p>
    <w:p w:rsidR="00D6130F" w:rsidRDefault="00D6130F" w14:paraId="5105582C" w14:textId="48E27C39">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64">
        <w:r w:rsidRPr="00036508">
          <w:rPr>
            <w:rStyle w:val="Hipervnculo"/>
            <w:b/>
            <w:noProof/>
          </w:rPr>
          <w:t xml:space="preserve">Tabla 6. </w:t>
        </w:r>
        <w:r w:rsidRPr="00036508">
          <w:rPr>
            <w:rStyle w:val="Hipervnculo"/>
            <w:noProof/>
          </w:rPr>
          <w:t>Distribución de las particiones de BraTS-GLI 2024.</w:t>
        </w:r>
        <w:r>
          <w:rPr>
            <w:noProof/>
            <w:webHidden/>
          </w:rPr>
          <w:tab/>
        </w:r>
        <w:r>
          <w:rPr>
            <w:noProof/>
            <w:webHidden/>
          </w:rPr>
          <w:fldChar w:fldCharType="begin"/>
        </w:r>
        <w:r>
          <w:rPr>
            <w:noProof/>
            <w:webHidden/>
          </w:rPr>
          <w:instrText xml:space="preserve"> PAGEREF _Toc235507364 \h </w:instrText>
        </w:r>
        <w:r>
          <w:rPr>
            <w:noProof/>
            <w:webHidden/>
          </w:rPr>
        </w:r>
        <w:r>
          <w:rPr>
            <w:noProof/>
            <w:webHidden/>
          </w:rPr>
          <w:fldChar w:fldCharType="separate"/>
        </w:r>
        <w:r>
          <w:rPr>
            <w:noProof/>
            <w:webHidden/>
          </w:rPr>
          <w:t>29</w:t>
        </w:r>
        <w:r>
          <w:rPr>
            <w:noProof/>
            <w:webHidden/>
          </w:rPr>
          <w:fldChar w:fldCharType="end"/>
        </w:r>
      </w:hyperlink>
    </w:p>
    <w:p w:rsidR="00D6130F" w:rsidRDefault="00D6130F" w14:paraId="55146973" w14:textId="12A2B696">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65">
        <w:r w:rsidRPr="00036508">
          <w:rPr>
            <w:rStyle w:val="Hipervnculo"/>
            <w:b/>
            <w:noProof/>
          </w:rPr>
          <w:t xml:space="preserve">Tabla 7. </w:t>
        </w:r>
        <w:r w:rsidRPr="00036508">
          <w:rPr>
            <w:rStyle w:val="Hipervnculo"/>
            <w:noProof/>
          </w:rPr>
          <w:t>Entornos utilizados en las corridas finales.</w:t>
        </w:r>
        <w:r>
          <w:rPr>
            <w:noProof/>
            <w:webHidden/>
          </w:rPr>
          <w:tab/>
        </w:r>
        <w:r>
          <w:rPr>
            <w:noProof/>
            <w:webHidden/>
          </w:rPr>
          <w:fldChar w:fldCharType="begin"/>
        </w:r>
        <w:r>
          <w:rPr>
            <w:noProof/>
            <w:webHidden/>
          </w:rPr>
          <w:instrText xml:space="preserve"> PAGEREF _Toc235507365 \h </w:instrText>
        </w:r>
        <w:r>
          <w:rPr>
            <w:noProof/>
            <w:webHidden/>
          </w:rPr>
        </w:r>
        <w:r>
          <w:rPr>
            <w:noProof/>
            <w:webHidden/>
          </w:rPr>
          <w:fldChar w:fldCharType="separate"/>
        </w:r>
        <w:r>
          <w:rPr>
            <w:noProof/>
            <w:webHidden/>
          </w:rPr>
          <w:t>30</w:t>
        </w:r>
        <w:r>
          <w:rPr>
            <w:noProof/>
            <w:webHidden/>
          </w:rPr>
          <w:fldChar w:fldCharType="end"/>
        </w:r>
      </w:hyperlink>
    </w:p>
    <w:p w:rsidR="00D6130F" w:rsidRDefault="00D6130F" w14:paraId="0B1E35F9" w14:textId="3C0B37AA">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66">
        <w:r w:rsidRPr="00036508">
          <w:rPr>
            <w:rStyle w:val="Hipervnculo"/>
            <w:b/>
            <w:noProof/>
          </w:rPr>
          <w:t xml:space="preserve">Tabla 8. </w:t>
        </w:r>
        <w:r w:rsidRPr="00036508">
          <w:rPr>
            <w:rStyle w:val="Hipervnculo"/>
            <w:noProof/>
          </w:rPr>
          <w:t>Subcomandos de la interfaz tfm_brats/cli.py.</w:t>
        </w:r>
        <w:r>
          <w:rPr>
            <w:noProof/>
            <w:webHidden/>
          </w:rPr>
          <w:tab/>
        </w:r>
        <w:r>
          <w:rPr>
            <w:noProof/>
            <w:webHidden/>
          </w:rPr>
          <w:fldChar w:fldCharType="begin"/>
        </w:r>
        <w:r>
          <w:rPr>
            <w:noProof/>
            <w:webHidden/>
          </w:rPr>
          <w:instrText xml:space="preserve"> PAGEREF _Toc235507366 \h </w:instrText>
        </w:r>
        <w:r>
          <w:rPr>
            <w:noProof/>
            <w:webHidden/>
          </w:rPr>
        </w:r>
        <w:r>
          <w:rPr>
            <w:noProof/>
            <w:webHidden/>
          </w:rPr>
          <w:fldChar w:fldCharType="separate"/>
        </w:r>
        <w:r>
          <w:rPr>
            <w:noProof/>
            <w:webHidden/>
          </w:rPr>
          <w:t>30</w:t>
        </w:r>
        <w:r>
          <w:rPr>
            <w:noProof/>
            <w:webHidden/>
          </w:rPr>
          <w:fldChar w:fldCharType="end"/>
        </w:r>
      </w:hyperlink>
    </w:p>
    <w:p w:rsidR="00D6130F" w:rsidRDefault="00D6130F" w14:paraId="21095917" w14:textId="1A66FC50">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67">
        <w:r w:rsidRPr="00036508">
          <w:rPr>
            <w:rStyle w:val="Hipervnculo"/>
            <w:b/>
            <w:noProof/>
          </w:rPr>
          <w:t xml:space="preserve">Tabla 9. </w:t>
        </w:r>
        <w:r w:rsidRPr="00036508">
          <w:rPr>
            <w:rStyle w:val="Hipervnculo"/>
            <w:noProof/>
          </w:rPr>
          <w:t>Entradas multimodales y salidas regionales del sistema de segmentación.</w:t>
        </w:r>
        <w:r>
          <w:rPr>
            <w:noProof/>
            <w:webHidden/>
          </w:rPr>
          <w:tab/>
        </w:r>
        <w:r>
          <w:rPr>
            <w:noProof/>
            <w:webHidden/>
          </w:rPr>
          <w:fldChar w:fldCharType="begin"/>
        </w:r>
        <w:r>
          <w:rPr>
            <w:noProof/>
            <w:webHidden/>
          </w:rPr>
          <w:instrText xml:space="preserve"> PAGEREF _Toc235507367 \h </w:instrText>
        </w:r>
        <w:r>
          <w:rPr>
            <w:noProof/>
            <w:webHidden/>
          </w:rPr>
        </w:r>
        <w:r>
          <w:rPr>
            <w:noProof/>
            <w:webHidden/>
          </w:rPr>
          <w:fldChar w:fldCharType="separate"/>
        </w:r>
        <w:r>
          <w:rPr>
            <w:noProof/>
            <w:webHidden/>
          </w:rPr>
          <w:t>32</w:t>
        </w:r>
        <w:r>
          <w:rPr>
            <w:noProof/>
            <w:webHidden/>
          </w:rPr>
          <w:fldChar w:fldCharType="end"/>
        </w:r>
      </w:hyperlink>
    </w:p>
    <w:p w:rsidR="00D6130F" w:rsidRDefault="00D6130F" w14:paraId="7EAB93B4" w14:textId="6699AF5A">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68">
        <w:r w:rsidRPr="00036508">
          <w:rPr>
            <w:rStyle w:val="Hipervnculo"/>
            <w:b/>
            <w:noProof/>
          </w:rPr>
          <w:t xml:space="preserve">Tabla 10. </w:t>
        </w:r>
        <w:r w:rsidRPr="00036508">
          <w:rPr>
            <w:rStyle w:val="Hipervnculo"/>
            <w:noProof/>
          </w:rPr>
          <w:t>Familias y configuraciones finales, ruta de implementación y número de parámetros.</w:t>
        </w:r>
        <w:r>
          <w:rPr>
            <w:noProof/>
            <w:webHidden/>
          </w:rPr>
          <w:tab/>
        </w:r>
        <w:r>
          <w:rPr>
            <w:noProof/>
            <w:webHidden/>
          </w:rPr>
          <w:fldChar w:fldCharType="begin"/>
        </w:r>
        <w:r>
          <w:rPr>
            <w:noProof/>
            <w:webHidden/>
          </w:rPr>
          <w:instrText xml:space="preserve"> PAGEREF _Toc235507368 \h </w:instrText>
        </w:r>
        <w:r>
          <w:rPr>
            <w:noProof/>
            <w:webHidden/>
          </w:rPr>
        </w:r>
        <w:r>
          <w:rPr>
            <w:noProof/>
            <w:webHidden/>
          </w:rPr>
          <w:fldChar w:fldCharType="separate"/>
        </w:r>
        <w:r>
          <w:rPr>
            <w:noProof/>
            <w:webHidden/>
          </w:rPr>
          <w:t>33</w:t>
        </w:r>
        <w:r>
          <w:rPr>
            <w:noProof/>
            <w:webHidden/>
          </w:rPr>
          <w:fldChar w:fldCharType="end"/>
        </w:r>
      </w:hyperlink>
    </w:p>
    <w:p w:rsidR="00D6130F" w:rsidRDefault="00D6130F" w14:paraId="174E641E" w14:textId="7464E6A4">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69">
        <w:r w:rsidRPr="00036508">
          <w:rPr>
            <w:rStyle w:val="Hipervnculo"/>
            <w:b/>
            <w:noProof/>
          </w:rPr>
          <w:t xml:space="preserve">Tabla 11. </w:t>
        </w:r>
        <w:r w:rsidRPr="00036508">
          <w:rPr>
            <w:rStyle w:val="Hipervnculo"/>
            <w:noProof/>
          </w:rPr>
          <w:t>Hiperparámetros efectivos del protocolo MONAI final.</w:t>
        </w:r>
        <w:r>
          <w:rPr>
            <w:noProof/>
            <w:webHidden/>
          </w:rPr>
          <w:tab/>
        </w:r>
        <w:r>
          <w:rPr>
            <w:noProof/>
            <w:webHidden/>
          </w:rPr>
          <w:fldChar w:fldCharType="begin"/>
        </w:r>
        <w:r>
          <w:rPr>
            <w:noProof/>
            <w:webHidden/>
          </w:rPr>
          <w:instrText xml:space="preserve"> PAGEREF _Toc235507369 \h </w:instrText>
        </w:r>
        <w:r>
          <w:rPr>
            <w:noProof/>
            <w:webHidden/>
          </w:rPr>
        </w:r>
        <w:r>
          <w:rPr>
            <w:noProof/>
            <w:webHidden/>
          </w:rPr>
          <w:fldChar w:fldCharType="separate"/>
        </w:r>
        <w:r>
          <w:rPr>
            <w:noProof/>
            <w:webHidden/>
          </w:rPr>
          <w:t>35</w:t>
        </w:r>
        <w:r>
          <w:rPr>
            <w:noProof/>
            <w:webHidden/>
          </w:rPr>
          <w:fldChar w:fldCharType="end"/>
        </w:r>
      </w:hyperlink>
    </w:p>
    <w:p w:rsidR="00D6130F" w:rsidRDefault="00D6130F" w14:paraId="356392F7" w14:textId="07F178AA">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70">
        <w:r w:rsidRPr="00036508">
          <w:rPr>
            <w:rStyle w:val="Hipervnculo"/>
            <w:b/>
            <w:noProof/>
          </w:rPr>
          <w:t xml:space="preserve">Tabla 12. </w:t>
        </w:r>
        <w:r w:rsidRPr="00036508">
          <w:rPr>
            <w:rStyle w:val="Hipervnculo"/>
            <w:noProof/>
          </w:rPr>
          <w:t>Dice medio por semilla para las estrategias de fusión evaluadas sobre la misma Residual U-Net 3D. La última columna muestra la media y la desviación estándar poblacional de las tres corridas.</w:t>
        </w:r>
        <w:r>
          <w:rPr>
            <w:noProof/>
            <w:webHidden/>
          </w:rPr>
          <w:tab/>
        </w:r>
        <w:r>
          <w:rPr>
            <w:noProof/>
            <w:webHidden/>
          </w:rPr>
          <w:fldChar w:fldCharType="begin"/>
        </w:r>
        <w:r>
          <w:rPr>
            <w:noProof/>
            <w:webHidden/>
          </w:rPr>
          <w:instrText xml:space="preserve"> PAGEREF _Toc235507370 \h </w:instrText>
        </w:r>
        <w:r>
          <w:rPr>
            <w:noProof/>
            <w:webHidden/>
          </w:rPr>
        </w:r>
        <w:r>
          <w:rPr>
            <w:noProof/>
            <w:webHidden/>
          </w:rPr>
          <w:fldChar w:fldCharType="separate"/>
        </w:r>
        <w:r>
          <w:rPr>
            <w:noProof/>
            <w:webHidden/>
          </w:rPr>
          <w:t>40</w:t>
        </w:r>
        <w:r>
          <w:rPr>
            <w:noProof/>
            <w:webHidden/>
          </w:rPr>
          <w:fldChar w:fldCharType="end"/>
        </w:r>
      </w:hyperlink>
    </w:p>
    <w:p w:rsidR="00D6130F" w:rsidRDefault="00D6130F" w14:paraId="4809CCD2" w14:textId="2C614584">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71">
        <w:r w:rsidRPr="00036508">
          <w:rPr>
            <w:rStyle w:val="Hipervnculo"/>
            <w:b/>
            <w:noProof/>
          </w:rPr>
          <w:t xml:space="preserve">Tabla 13. </w:t>
        </w:r>
        <w:r w:rsidRPr="00036508">
          <w:rPr>
            <w:rStyle w:val="Hipervnculo"/>
            <w:noProof/>
          </w:rPr>
          <w:t>Coeficiente Dice en la partición de evaluación. Para las configuraciones con tres semillas se presenta media ± desviación estándar poblacional.</w:t>
        </w:r>
        <w:r>
          <w:rPr>
            <w:noProof/>
            <w:webHidden/>
          </w:rPr>
          <w:tab/>
        </w:r>
        <w:r>
          <w:rPr>
            <w:noProof/>
            <w:webHidden/>
          </w:rPr>
          <w:fldChar w:fldCharType="begin"/>
        </w:r>
        <w:r>
          <w:rPr>
            <w:noProof/>
            <w:webHidden/>
          </w:rPr>
          <w:instrText xml:space="preserve"> PAGEREF _Toc235507371 \h </w:instrText>
        </w:r>
        <w:r>
          <w:rPr>
            <w:noProof/>
            <w:webHidden/>
          </w:rPr>
        </w:r>
        <w:r>
          <w:rPr>
            <w:noProof/>
            <w:webHidden/>
          </w:rPr>
          <w:fldChar w:fldCharType="separate"/>
        </w:r>
        <w:r>
          <w:rPr>
            <w:noProof/>
            <w:webHidden/>
          </w:rPr>
          <w:t>42</w:t>
        </w:r>
        <w:r>
          <w:rPr>
            <w:noProof/>
            <w:webHidden/>
          </w:rPr>
          <w:fldChar w:fldCharType="end"/>
        </w:r>
      </w:hyperlink>
    </w:p>
    <w:p w:rsidR="00D6130F" w:rsidRDefault="00D6130F" w14:paraId="3B036BE2" w14:textId="6C81BDDD">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72">
        <w:r w:rsidRPr="00036508">
          <w:rPr>
            <w:rStyle w:val="Hipervnculo"/>
            <w:b/>
            <w:noProof/>
          </w:rPr>
          <w:t xml:space="preserve">Tabla 14. </w:t>
        </w:r>
        <w:r w:rsidRPr="00036508">
          <w:rPr>
            <w:rStyle w:val="Hipervnculo"/>
            <w:noProof/>
          </w:rPr>
          <w:t>HD95 en milímetros y número de estudios con valor finito. Un valor menor indica menor discrepancia de superficie entre los casos incluidos en el promedio.</w:t>
        </w:r>
        <w:r>
          <w:rPr>
            <w:noProof/>
            <w:webHidden/>
          </w:rPr>
          <w:tab/>
        </w:r>
        <w:r>
          <w:rPr>
            <w:noProof/>
            <w:webHidden/>
          </w:rPr>
          <w:fldChar w:fldCharType="begin"/>
        </w:r>
        <w:r>
          <w:rPr>
            <w:noProof/>
            <w:webHidden/>
          </w:rPr>
          <w:instrText xml:space="preserve"> PAGEREF _Toc235507372 \h </w:instrText>
        </w:r>
        <w:r>
          <w:rPr>
            <w:noProof/>
            <w:webHidden/>
          </w:rPr>
        </w:r>
        <w:r>
          <w:rPr>
            <w:noProof/>
            <w:webHidden/>
          </w:rPr>
          <w:fldChar w:fldCharType="separate"/>
        </w:r>
        <w:r>
          <w:rPr>
            <w:noProof/>
            <w:webHidden/>
          </w:rPr>
          <w:t>43</w:t>
        </w:r>
        <w:r>
          <w:rPr>
            <w:noProof/>
            <w:webHidden/>
          </w:rPr>
          <w:fldChar w:fldCharType="end"/>
        </w:r>
      </w:hyperlink>
    </w:p>
    <w:p w:rsidR="00D6130F" w:rsidRDefault="00D6130F" w14:paraId="0D4E7D8B" w14:textId="4C346C33">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73">
        <w:r w:rsidRPr="00036508">
          <w:rPr>
            <w:rStyle w:val="Hipervnculo"/>
            <w:b/>
            <w:noProof/>
          </w:rPr>
          <w:t xml:space="preserve">Tabla 15. </w:t>
        </w:r>
        <w:r w:rsidRPr="00036508">
          <w:rPr>
            <w:rStyle w:val="Hipervnculo"/>
            <w:noProof/>
          </w:rPr>
          <w:t>Parámetros, entorno y coste registrado. «No registrado» indica que el artefacto necesario no se conservó o que el mecanismo de registro no era compatible con el entorno.</w:t>
        </w:r>
        <w:r>
          <w:rPr>
            <w:noProof/>
            <w:webHidden/>
          </w:rPr>
          <w:tab/>
        </w:r>
        <w:r>
          <w:rPr>
            <w:noProof/>
            <w:webHidden/>
          </w:rPr>
          <w:fldChar w:fldCharType="begin"/>
        </w:r>
        <w:r>
          <w:rPr>
            <w:noProof/>
            <w:webHidden/>
          </w:rPr>
          <w:instrText xml:space="preserve"> PAGEREF _Toc235507373 \h </w:instrText>
        </w:r>
        <w:r>
          <w:rPr>
            <w:noProof/>
            <w:webHidden/>
          </w:rPr>
        </w:r>
        <w:r>
          <w:rPr>
            <w:noProof/>
            <w:webHidden/>
          </w:rPr>
          <w:fldChar w:fldCharType="separate"/>
        </w:r>
        <w:r>
          <w:rPr>
            <w:noProof/>
            <w:webHidden/>
          </w:rPr>
          <w:t>43</w:t>
        </w:r>
        <w:r>
          <w:rPr>
            <w:noProof/>
            <w:webHidden/>
          </w:rPr>
          <w:fldChar w:fldCharType="end"/>
        </w:r>
      </w:hyperlink>
    </w:p>
    <w:p w:rsidR="00D6130F" w:rsidRDefault="00D6130F" w14:paraId="1732F911" w14:textId="1AC08754">
      <w:pPr>
        <w:pStyle w:val="Tabladeilustraciones"/>
        <w:tabs>
          <w:tab w:val="right" w:leader="dot" w:pos="8494"/>
        </w:tabs>
        <w:rPr>
          <w:rFonts w:asciiTheme="minorHAnsi" w:hAnsiTheme="minorHAnsi" w:eastAsiaTheme="minorEastAsia" w:cstheme="minorBidi"/>
          <w:noProof/>
          <w:kern w:val="2"/>
          <w:sz w:val="24"/>
          <w:szCs w:val="24"/>
          <w:lang w:eastAsia="ja-JP"/>
          <w14:ligatures w14:val="standardContextual"/>
        </w:rPr>
      </w:pPr>
      <w:hyperlink w:history="1" w:anchor="_Toc235507374">
        <w:r w:rsidRPr="00036508">
          <w:rPr>
            <w:rStyle w:val="Hipervnculo"/>
            <w:b/>
            <w:noProof/>
          </w:rPr>
          <w:t xml:space="preserve">Tabla A.1. </w:t>
        </w:r>
        <w:r w:rsidRPr="00036508">
          <w:rPr>
            <w:rStyle w:val="Hipervnculo"/>
            <w:noProof/>
          </w:rPr>
          <w:t>Artefactos del proyecto y política de versionado.</w:t>
        </w:r>
        <w:r>
          <w:rPr>
            <w:noProof/>
            <w:webHidden/>
          </w:rPr>
          <w:tab/>
        </w:r>
        <w:r>
          <w:rPr>
            <w:noProof/>
            <w:webHidden/>
          </w:rPr>
          <w:fldChar w:fldCharType="begin"/>
        </w:r>
        <w:r>
          <w:rPr>
            <w:noProof/>
            <w:webHidden/>
          </w:rPr>
          <w:instrText xml:space="preserve"> PAGEREF _Toc235507374 \h </w:instrText>
        </w:r>
        <w:r>
          <w:rPr>
            <w:noProof/>
            <w:webHidden/>
          </w:rPr>
        </w:r>
        <w:r>
          <w:rPr>
            <w:noProof/>
            <w:webHidden/>
          </w:rPr>
          <w:fldChar w:fldCharType="separate"/>
        </w:r>
        <w:r>
          <w:rPr>
            <w:noProof/>
            <w:webHidden/>
          </w:rPr>
          <w:t>59</w:t>
        </w:r>
        <w:r>
          <w:rPr>
            <w:noProof/>
            <w:webHidden/>
          </w:rPr>
          <w:fldChar w:fldCharType="end"/>
        </w:r>
      </w:hyperlink>
    </w:p>
    <w:p w:rsidR="00914FAA" w:rsidRDefault="000E7DA8" w14:paraId="040CA098" w14:textId="1989C42A">
      <w:pPr>
        <w:jc w:val="left"/>
      </w:pPr>
      <w:r>
        <w:fldChar w:fldCharType="end"/>
      </w:r>
      <w:proofErr w:type="spellStart"/>
    </w:p>
    <w:p w:rsidR="00914FAA" w:rsidRDefault="000E7DA8" w14:paraId="73799659" w14:textId="77777777">
      <w:pPr>
        <w:pStyle w:val="Ttulo1"/>
        <w:pageBreakBefore/>
      </w:pPr>
      <w:bookmarkStart w:name="_Toc684908257" w:id="8"/>
      <w:r>
        <w:lastRenderedPageBreak/>
        <w:t>1. Introducción</w:t>
      </w:r>
      <w:bookmarkEnd w:id="8"/>
    </w:p>
    <w:p w:rsidR="00914FAA" w:rsidRDefault="000E7DA8" w14:paraId="1A89B7D7" w14:textId="77777777">
      <w:commentRangeStart w:id="4"/>
      <w:r>
        <w:t>El diagnóstico apoyado en técnicas de imagen médica constituye uno de los pilares de la práctica clínica moderna. Modalidades como la radiografía, la tomografía computarizada, la resonancia magnética o la tomografía por emisión de positrones permiten examinar de forma no invasiva la anatomía y determinadas propiedades fisiológicas o metabólicas de los tejidos. En oncología, estas técnicas intervienen en la detección y caracterización de lesiones, la planificación terapéutica, la evaluación de la respuesta al tratamiento y el seguimiento longitudinal. No obstante, sus resultados no deben interpretarse de forma aislada, sino integrarse con la información clínica, histopatológica y molecular del paciente.</w:t>
      </w:r>
      <w:commentRangeEnd w:id="4"/>
      <w:r>
        <w:rPr>
          <w:rStyle w:val="CommentReference"/>
        </w:rPr>
        <w:commentReference w:id="4"/>
      </w:r>
    </w:p>
    <w:p w:rsidR="00914FAA" w:rsidRDefault="000E7DA8" w14:paraId="305E6EF9" w14:textId="77777777">
      <w:pPr>
        <w:pStyle w:val="Ttulo2"/>
      </w:pPr>
      <w:bookmarkStart w:name="_Toc1663642842" w:id="9"/>
      <w:bookmarkStart w:name="contexto-y-motivación" w:id="10"/>
      <w:r>
        <w:t>1.1. Contexto y motivación</w:t>
      </w:r>
      <w:bookmarkEnd w:id="9"/>
    </w:p>
    <w:p w:rsidR="00914FAA" w:rsidRDefault="000E7DA8" w14:paraId="31D42551" w14:textId="77777777">
      <w:commentRangeStart w:id="5"/>
      <w:r>
        <w:t>En particular, la imagen médica desempeña una función central en neuro-oncología, debido a la complejidad anatómica del sistema nervioso central, la heterogeneidad de los tumores cerebrales y la necesidad de preservar estructuras funcionales durante el tratamiento. Entre estos tumores, los gliomas constituyen un grupo heterogéneo con diferentes características biológicas, grados de agresividad y pronósticos. La resonancia magnética (MRI, por sus siglas en inglés) es la principal técnica de imagen empleada en su evaluación, ya que proporciona un elevado contraste entre tejidos blandos y aporta información relevante para la caracterización de la lesión, la planificación quirúrgica y radioterápica y el seguimiento de la enfermedad (Langen et al., 2017; Khalighi et al., 2024).</w:t>
      </w:r>
      <w:commentRangeEnd w:id="5"/>
      <w:r>
        <w:rPr>
          <w:rStyle w:val="CommentReference"/>
        </w:rPr>
        <w:commentReference w:id="5"/>
      </w:r>
    </w:p>
    <w:p w:rsidR="00914FAA" w:rsidRDefault="000E7DA8" w14:paraId="32A86C9E" w14:textId="039D09E1">
      <w:r w:rsidR="6A5F4401">
        <w:rPr/>
        <w:t>La evaluación de los gliomas mediante MRI tiene un carácter multiparamétrico. En segmentación automática se emplean habitualmente cuatro secuencias convencionales: T1 nativa</w:t>
      </w:r>
      <w:r w:rsidR="6A5F4401">
        <w:rPr/>
        <w:t xml:space="preserve"> (T1n), </w:t>
      </w:r>
      <w:r w:rsidR="6A5F4401">
        <w:rPr/>
        <w:t>T1 con contraste (T1c), T2 ponderada (T2w) y recuperación de la inversión atenuada por fluido (FLAIR). La secuencia T1n proporciona una referencia anatómica de base, mientras que T1c permite identificar las regiones que realzan tras la administración de contraste, asociado al aumento de permeabilidad de la barrera hematoencefálica</w:t>
      </w:r>
      <w:r w:rsidR="24E60AD0">
        <w:rPr/>
        <w:t>. S</w:t>
      </w:r>
      <w:r w:rsidR="6A5F4401">
        <w:rPr/>
        <w:t>in embargo, ese realce no representa por sí solo toda la extensión del tejido tumoral biológicamente activo. Las secuencias T2w y FLAIR son sensibles al aumento del contenido de agua</w:t>
      </w:r>
      <w:r w:rsidR="749AA663">
        <w:rPr/>
        <w:t xml:space="preserve">, siendo </w:t>
      </w:r>
      <w:r w:rsidR="6A5F4401">
        <w:rPr/>
        <w:t xml:space="preserve">FLAIR </w:t>
      </w:r>
      <w:r w:rsidR="1D5E26FB">
        <w:rPr/>
        <w:t xml:space="preserve">la que </w:t>
      </w:r>
      <w:r w:rsidR="6A5F4401">
        <w:rPr/>
        <w:t xml:space="preserve">suprime la señal del líquido cefalorraquídeo y facilita la visualización de alteraciones </w:t>
      </w:r>
      <w:r w:rsidR="6A5F4401">
        <w:rPr/>
        <w:t>peritumorales</w:t>
      </w:r>
      <w:r w:rsidR="6A5F4401">
        <w:rPr/>
        <w:t xml:space="preserve"> que pueden incluir edema e infiltración. Ninguna modalidad describe por sí sola toda la lesión</w:t>
      </w:r>
      <w:r w:rsidR="284D9DC5">
        <w:rPr/>
        <w:t>. La</w:t>
      </w:r>
      <w:r w:rsidR="6A5F4401">
        <w:rPr/>
        <w:t xml:space="preserve"> combinación </w:t>
      </w:r>
      <w:r w:rsidR="55662DBF">
        <w:rPr/>
        <w:t xml:space="preserve">es la que </w:t>
      </w:r>
      <w:r w:rsidR="6A5F4401">
        <w:rPr/>
        <w:t>proporciona información complementaria para delimitar el tumor y sus subregiones (Langen et al., 2017; Kouli et al., 2022).</w:t>
      </w:r>
    </w:p>
    <w:p w:rsidR="00914FAA" w:rsidRDefault="000E7DA8" w14:paraId="025BBB39" w14:textId="4CA1014A">
      <w:commentRangeStart w:id="6"/>
      <w:r w:rsidR="6A5F4401">
        <w:rPr/>
        <w:t xml:space="preserve">Cuando se requiere una cuantificación volumétrica, la delimitación manual de estas regiones por especialistas resulta compleja y costosa. Los límites difusos, la heterogeneidad de intensidades y la extensión tridimensional favorecen la variabilidad entre observadores e incluso entre anotaciones de un mismo profesional, además de consumir un tiempo considerable. La segmentación automática se plantea, por tanto, </w:t>
      </w:r>
      <w:r w:rsidR="6A5F4401">
        <w:rPr/>
        <w:t>como herramienta de apoyo capaz de reducir la carga de trabajo y proporcionar estimaciones más consistentes. Aun así, el problema no está completamente resuelto</w:t>
      </w:r>
      <w:r w:rsidR="62593DF1">
        <w:rPr/>
        <w:t xml:space="preserve"> ya </w:t>
      </w:r>
      <w:r w:rsidR="62593DF1">
        <w:rPr/>
        <w:t xml:space="preserve">que </w:t>
      </w:r>
      <w:r w:rsidR="6A5F4401">
        <w:rPr/>
        <w:t xml:space="preserve"> el</w:t>
      </w:r>
      <w:r w:rsidR="6A5F4401">
        <w:rPr/>
        <w:t xml:space="preserve"> rendimiento disminuye en algunas subregiones y la generalización a imágenes de otros centros sigue siendo un reto (Kouli et al., 2022)</w:t>
      </w:r>
      <w:r w:rsidR="1D68AA91">
        <w:rPr/>
        <w:t>. A</w:t>
      </w:r>
      <w:r w:rsidR="6A5F4401">
        <w:rPr/>
        <w:t>simismo, unas métricas favorables no garantizan por sí solas la utilidad clínica de una segmentación, lo que hace necesaria su evaluación por especialistas (Hoebel et al., 2024).</w:t>
      </w:r>
      <w:commentRangeEnd w:id="6"/>
      <w:r>
        <w:rPr>
          <w:rStyle w:val="CommentReference"/>
        </w:rPr>
        <w:commentReference w:id="6"/>
      </w:r>
    </w:p>
    <w:p w:rsidR="00914FAA" w:rsidRDefault="000E7DA8" w14:paraId="142A3AAC" w14:textId="77777777">
      <w:r>
        <w:t>En los últimos años, el aprendizaje profundo ha ampliado sus aplicaciones en neuro-oncología (detección y clasificación de tumores, segmentación de lesiones, predicción de características moleculares y estimación del pronóstico), con estudios que respaldan su potencial como apoyo a la interpretación radiológica (Gao et al., 2022). Sin embargo, su incorporación a la práctica clínica exige modelos robustos ante variaciones en escáneres, protocolos y poblaciones, además de validación externa, interpretabilidad e integración en los flujos de trabajo (Khalighi et al., 2024).</w:t>
      </w:r>
    </w:p>
    <w:p w:rsidR="00914FAA" w:rsidRDefault="000E7DA8" w14:paraId="33199E79" w14:textId="3F5B6B29">
      <w:commentRangeStart w:id="7"/>
      <w:r w:rsidR="6A5F4401">
        <w:rPr/>
        <w:t xml:space="preserve">Dentro de este contexto, el presente Trabajo de Fin de Máster se centra en la </w:t>
      </w:r>
      <w:r w:rsidRPr="06910F8B" w:rsidR="6A5F4401">
        <w:rPr>
          <w:b w:val="1"/>
          <w:bCs w:val="1"/>
        </w:rPr>
        <w:t>segmentación automática tridimensional de gliomas a partir de imágenes MRI multimodales</w:t>
      </w:r>
      <w:r w:rsidR="6A5F4401">
        <w:rPr/>
        <w:t>. El sistema se aplica exclusivamente a pacientes previamente diagnosticados y no pretende realizar cribado, determinar la presencia de un tumor ni diferenciar los gliomas de otras patologías. La investigación estudia cómo combinar la información complementaria de las secuencias T1n, T1c, T2w y FLAIR</w:t>
      </w:r>
      <w:r w:rsidR="64AB3F5D">
        <w:rPr/>
        <w:t>.</w:t>
      </w:r>
      <w:r w:rsidR="6A5F4401">
        <w:rPr/>
        <w:t xml:space="preserve"> </w:t>
      </w:r>
      <w:r w:rsidR="436DA086">
        <w:rPr/>
        <w:t>C</w:t>
      </w:r>
      <w:r w:rsidR="6A5F4401">
        <w:rPr/>
        <w:t xml:space="preserve">oncretamente, analiza </w:t>
      </w:r>
      <w:r w:rsidRPr="06910F8B" w:rsidR="6A5F4401">
        <w:rPr>
          <w:b w:val="1"/>
          <w:bCs w:val="1"/>
        </w:rPr>
        <w:t>si un mecanismo de fusión adaptativa mejora la delimitación de las subregiones tumorales frente a la concatenación convencional de modalidades</w:t>
      </w:r>
      <w:r w:rsidR="6A5F4401">
        <w:rPr/>
        <w:t>, manteniendo un coste computacional asumible.</w:t>
      </w:r>
      <w:commentRangeEnd w:id="7"/>
      <w:r>
        <w:rPr>
          <w:rStyle w:val="CommentReference"/>
        </w:rPr>
        <w:commentReference w:id="7"/>
      </w:r>
    </w:p>
    <w:p w:rsidR="06910F8B" w:rsidRDefault="06910F8B" w14:paraId="2A10FB9A" w14:textId="2D3BF6A8"/>
    <w:p w:rsidR="00914FAA" w:rsidRDefault="000E7DA8" w14:paraId="78E14518" w14:textId="77777777">
      <w:pPr>
        <w:pStyle w:val="Ttulo2"/>
      </w:pPr>
      <w:bookmarkStart w:name="_Toc1212778119" w:id="11"/>
      <w:bookmarkStart w:name="planteamiento-del-problema" w:id="12"/>
      <w:bookmarkEnd w:id="5"/>
      <w:r>
        <w:t>1.2. Planteamiento del problema</w:t>
      </w:r>
      <w:bookmarkEnd w:id="11"/>
    </w:p>
    <w:p w:rsidR="00914FAA" w:rsidRDefault="000E7DA8" w14:paraId="7524B24F" w14:textId="77777777">
      <w:r>
        <w:t>Las modalidades T1n, T1c, T2w y FLAIR proporcionan contrastes complementarios, pero su contribución a la segmentación no es uniforme ni existe una correspondencia exclusiva entre una modalidad y una región tumoral. Algunas estructuras resultan más visibles en determinadas secuencias, mientras que la información de las restantes puede ser parcialmente redundante o ayudar a resolver ambigüedades. Estudios recientes muestran, por ejemplo, una mayor relevancia de FLAIR para delimitar la extensión hiperintensa peritumoral y de T1c para identificar tejido realzante, aunque la combinación de modalidades suele proporcionar resultados más robustos (Ruffle et al., 2023). Esta complementariedad es la base del enfoque multimodal de BraTS-GLI 2024, conjunto empleado en este trabajo, que proporciona MRI multiparamétrica y anotaciones expertas para evaluar algoritmos de segmentación (de Verdier et al., 2024).</w:t>
      </w:r>
    </w:p>
    <w:p w:rsidR="00914FAA" w:rsidP="06910F8B" w:rsidRDefault="000E7DA8" w14:paraId="1BD98600" w14:textId="73C9EDD8">
      <w:pPr>
        <w:pStyle w:val="Normal"/>
        <w:suppressLineNumbers w:val="0"/>
        <w:bidi w:val="0"/>
        <w:spacing w:before="0" w:beforeAutospacing="off" w:after="200" w:afterAutospacing="off" w:line="276" w:lineRule="auto"/>
        <w:ind w:left="0" w:right="0"/>
        <w:jc w:val="both"/>
      </w:pPr>
      <w:commentRangeStart w:id="8"/>
      <w:r w:rsidR="6A5F4401">
        <w:rPr/>
        <w:t>Una estrategia habitual para integrar estas secuencias consiste en alinearlas y concatenarlas como canales de un único tensor de entrada. Esta fusión temprana es sencilla, introduce un coste computacional mínimo y permite que las primeras capas convolucionales aprendan filtros distintos por canal</w:t>
      </w:r>
      <w:r w:rsidR="680F6DBC">
        <w:rPr/>
        <w:t xml:space="preserve">. </w:t>
      </w:r>
      <w:r w:rsidR="680F6DBC">
        <w:rPr/>
        <w:t>P</w:t>
      </w:r>
      <w:r w:rsidR="6A5F4401">
        <w:rPr/>
        <w:t>or tanto, no es correcto afirmar que asigne necesariamente el mismo peso a todas las modalidades.</w:t>
      </w:r>
      <w:r w:rsidR="6A5F4401">
        <w:rPr/>
        <w:t xml:space="preserve"> Su limitación es que no incorpora un mecanismo explícito que estime y reajuste la contribución relativa </w:t>
      </w:r>
      <w:r w:rsidR="6A5F4401">
        <w:rPr/>
        <w:t>de cada modalidad en función del contenido de la entrada</w:t>
      </w:r>
      <w:r w:rsidR="746B1DDF">
        <w:rPr/>
        <w:t xml:space="preserve"> sino que</w:t>
      </w:r>
      <w:r w:rsidR="6A5F4401">
        <w:rPr/>
        <w:t xml:space="preserve"> dicha contribución queda representada de forma implícita en los filtros aprendidos.</w:t>
      </w:r>
      <w:commentRangeEnd w:id="8"/>
      <w:r>
        <w:rPr>
          <w:rStyle w:val="CommentReference"/>
        </w:rPr>
        <w:commentReference w:id="8"/>
      </w:r>
    </w:p>
    <w:p w:rsidR="00914FAA" w:rsidRDefault="000E7DA8" w14:paraId="02F666E0" w14:textId="77777777">
      <w:r>
        <w:t>La literatura ha explorado mecanismos de fusión más elaborados para aprovechar las relaciones entre modalidades, como la combinación en distintos niveles de la red o los módulos de atención que recalibran las representaciones. Liu et al. (2022) combinaron fusión a nivel de imagen y de características, y Zhou et al. (2022) propusieron un mecanismo de atención que modela la relevancia de las modalidades, su distribución espacial y sus correlaciones. Estos trabajos respaldan el interés por una integración adaptativa, aunque sus arquitecturas son más complejas y no permiten concluir que cualquier mecanismo de atención supere necesariamente a la concatenación (Liu et al., 2022; Zhou et al., 2022).</w:t>
      </w:r>
    </w:p>
    <w:p w:rsidR="00914FAA" w:rsidRDefault="000E7DA8" w14:paraId="41D54DAE" w14:textId="1A440FCC">
      <w:commentRangeStart w:id="9"/>
      <w:r w:rsidR="6A5F4401">
        <w:rPr/>
        <w:t xml:space="preserve">La problemática central de este TFM consiste, por tanto, en </w:t>
      </w:r>
      <w:r w:rsidRPr="06910F8B" w:rsidR="6A5F4401">
        <w:rPr>
          <w:b w:val="1"/>
          <w:bCs w:val="1"/>
        </w:rPr>
        <w:t>determinar si una ponderación explícita y ligera de las modalidades aporta una mejora medible cuando se mantiene fija la arquitectura de segmentación</w:t>
      </w:r>
      <w:r w:rsidR="6A5F4401">
        <w:rPr/>
        <w:t>. Para aislar esta variable se utiliza la misma Residual U-Net 3D y el mismo protocolo de entrenamiento en cuatro configuraciones: concatenación directa, ponderación global estática, compuerta adaptativa basada en la media y una extensión condicionada por la media y la desviación típica de cada modalidad. La ponderación global aprende un coeficiente por modalidad compartido por todas las entradas, mientras que las compuertas adaptativas generan los coeficientes a partir del tensor tridimensional procesado. Esos coeficientes se aplican antes del codificador y permanecen constantes en el espacio dentro de cada parche o ventana de inferencia</w:t>
      </w:r>
      <w:r w:rsidR="7DED2F8D">
        <w:rPr/>
        <w:t>.</w:t>
      </w:r>
      <w:r w:rsidR="6A5F4401">
        <w:rPr/>
        <w:t xml:space="preserve"> </w:t>
      </w:r>
      <w:r w:rsidR="4526878E">
        <w:rPr/>
        <w:t>P</w:t>
      </w:r>
      <w:r w:rsidR="6A5F4401">
        <w:rPr/>
        <w:t xml:space="preserve">or tanto, el mecanismo es dependiente de la entrada, pero no constituye una atención espacial ni específica por subregión. La inclusión de la ponderación global permite distinguir dos efectos </w:t>
      </w:r>
      <w:r w:rsidR="6A5F4401">
        <w:rPr/>
        <w:t>posibles</w:t>
      </w:r>
      <w:r w:rsidR="59617F95">
        <w:rPr/>
        <w:t xml:space="preserve"> ,</w:t>
      </w:r>
      <w:r w:rsidR="59617F95">
        <w:rPr/>
        <w:t xml:space="preserve"> como es la opción de </w:t>
      </w:r>
      <w:r w:rsidR="6A5F4401">
        <w:rPr/>
        <w:t>si basta con aprender una jerarquía general entre modalidades o si resulta beneficioso adaptar dicha ponderación al contenido de cada muestra.</w:t>
      </w:r>
      <w:commentRangeEnd w:id="9"/>
      <w:r>
        <w:rPr>
          <w:rStyle w:val="CommentReference"/>
        </w:rPr>
        <w:commentReference w:id="9"/>
      </w:r>
    </w:p>
    <w:p w:rsidR="00914FAA" w:rsidRDefault="000E7DA8" w14:paraId="2F11EFCB" w14:textId="77777777">
      <w:r>
        <w:t>A partir de este planteamiento, la pregunta de investigación se formula así:</w:t>
      </w:r>
    </w:p>
    <w:p w:rsidR="00914FAA" w:rsidRDefault="000E7DA8" w14:paraId="5E291895" w14:textId="77777777">
      <w:pPr>
        <w:pStyle w:val="TFMHighlight"/>
        <w:pBdr>
          <w:left w:val="single" w:color="ED7D31" w:sz="18" w:space="8"/>
        </w:pBdr>
        <w:shd w:val="clear" w:color="auto" w:fill="FCE4D6"/>
      </w:pPr>
      <w:r>
        <w:t>¿Puede una ponderación explícita y ligera de las modalidades T1n, T1c, T2w y FLAIR —en particular, una compuerta adaptativa condicionada por la entrada— mejorar de forma consistente la segmentación 3D de ET, TC y WT en BraTS-GLI 2024 frente a la concatenación directa de canales, manteniendo fija la arquitectura Residual U-Net 3D y un coste computacional asumible?</w:t>
      </w:r>
    </w:p>
    <w:p w:rsidR="00914FAA" w:rsidRDefault="000E7DA8" w14:paraId="69A10429" w14:textId="77777777">
      <w:r>
        <w:t>La evaluación se realiza mediante el coeficiente Dice y la distancia de Hausdorff al percentil 95 (HD95) para ET, TC y WT. La huella computacional se analiza mediante el número de parámetros y los registros disponibles de tiempo de entrenamiento y memoria, explicitando las diferencias entre entornos. Este aspecto resulta especialmente relevante en segmentación volumétrica, donde el incremento de complejidad de los mecanismos de atención puede traducirse en un consumo considerable de memoria y tiempo (Shaker et al., 2024).</w:t>
      </w:r>
    </w:p>
    <w:p w:rsidR="00914FAA" w:rsidP="06910F8B" w:rsidRDefault="000E7DA8" w14:paraId="612998A5" w14:textId="42A5EF92">
      <w:pPr>
        <w:pStyle w:val="Normal"/>
        <w:suppressLineNumbers w:val="0"/>
        <w:bidi w:val="0"/>
        <w:spacing w:before="0" w:beforeAutospacing="off" w:after="200" w:afterAutospacing="off" w:line="276" w:lineRule="auto"/>
        <w:ind w:left="0" w:right="0"/>
        <w:jc w:val="both"/>
      </w:pPr>
      <w:r w:rsidR="6A5F4401">
        <w:rPr/>
        <w:t xml:space="preserve">El alcance experimental se limita a las imágenes </w:t>
      </w:r>
      <w:r w:rsidR="6A5F4401">
        <w:rPr/>
        <w:t>post-tratamiento</w:t>
      </w:r>
      <w:r w:rsidR="6A5F4401">
        <w:rPr/>
        <w:t xml:space="preserve"> de </w:t>
      </w:r>
      <w:r w:rsidR="6A5F4401">
        <w:rPr/>
        <w:t>BraTS</w:t>
      </w:r>
      <w:r w:rsidR="6A5F4401">
        <w:rPr/>
        <w:t xml:space="preserve">-GLI 2024 que contienen las cuatro modalidades requeridas. </w:t>
      </w:r>
      <w:r w:rsidRPr="06910F8B" w:rsidR="6A5F4401">
        <w:rPr>
          <w:b w:val="1"/>
          <w:bCs w:val="1"/>
        </w:rPr>
        <w:t xml:space="preserve">El modelo no se ha entrenado ni </w:t>
      </w:r>
      <w:r w:rsidRPr="06910F8B" w:rsidR="6A5F4401">
        <w:rPr>
          <w:b w:val="1"/>
          <w:bCs w:val="1"/>
        </w:rPr>
        <w:t>validado para realizar cribado, diagnosticar la presencia de un tumor, diferenciar los gliomas de otras patologías o trabajar con secuencias ausentes</w:t>
      </w:r>
      <w:r w:rsidR="6A5F4401">
        <w:rPr/>
        <w:t xml:space="preserve">, y sus resultados deben interpretarse dentro del entorno controlado del </w:t>
      </w:r>
      <w:r w:rsidRPr="06910F8B" w:rsidR="6A5F4401">
        <w:rPr>
          <w:i w:val="1"/>
          <w:iCs w:val="1"/>
        </w:rPr>
        <w:t>benchmark</w:t>
      </w:r>
      <w:r w:rsidRPr="06910F8B" w:rsidR="09B88B6A">
        <w:rPr>
          <w:i w:val="1"/>
          <w:iCs w:val="1"/>
        </w:rPr>
        <w:t>.</w:t>
      </w:r>
      <w:r w:rsidR="6A5F4401">
        <w:rPr/>
        <w:t xml:space="preserve"> </w:t>
      </w:r>
      <w:r w:rsidR="16B84006">
        <w:rPr/>
        <w:t>L</w:t>
      </w:r>
      <w:r w:rsidR="6A5F4401">
        <w:rPr/>
        <w:t xml:space="preserve">a evidencia muestra que el rendimiento sobre datos </w:t>
      </w:r>
      <w:r w:rsidR="6A5F4401">
        <w:rPr/>
        <w:t>BraTS</w:t>
      </w:r>
      <w:r w:rsidR="6A5F4401">
        <w:rPr/>
        <w:t xml:space="preserve"> puede disminuir al aplicar los modelos a imágenes clínicas externas con distintas resoluciones o protocolos (Berkley et al., 2023). En consecuencia, el trabajo evalúa una estrategia computacional de segmentación y no una herramienta lista para uso clínico.</w:t>
      </w:r>
    </w:p>
    <w:p w:rsidR="06910F8B" w:rsidP="06910F8B" w:rsidRDefault="06910F8B" w14:paraId="4EEAE52B" w14:textId="48669AAA">
      <w:pPr>
        <w:pStyle w:val="Normal"/>
        <w:suppressLineNumbers w:val="0"/>
        <w:bidi w:val="0"/>
        <w:spacing w:before="0" w:beforeAutospacing="off" w:after="200" w:afterAutospacing="off" w:line="276" w:lineRule="auto"/>
        <w:ind w:left="0" w:right="0"/>
        <w:jc w:val="both"/>
      </w:pPr>
    </w:p>
    <w:p w:rsidR="00914FAA" w:rsidRDefault="000E7DA8" w14:paraId="13D1E688" w14:textId="77777777">
      <w:pPr>
        <w:pStyle w:val="Ttulo2"/>
      </w:pPr>
      <w:bookmarkStart w:name="_Toc795110387" w:id="13"/>
      <w:bookmarkStart w:name="objetivos" w:id="14"/>
      <w:bookmarkEnd w:id="10"/>
      <w:r>
        <w:t>1.3. Objetivos</w:t>
      </w:r>
      <w:bookmarkEnd w:id="13"/>
    </w:p>
    <w:p w:rsidR="00914FAA" w:rsidRDefault="000E7DA8" w14:paraId="7685BB28" w14:textId="77777777">
      <w:r>
        <w:rPr>
          <w:b/>
          <w:bCs/>
        </w:rPr>
        <w:t>Objetivo principal.</w:t>
      </w:r>
      <w:r>
        <w:t xml:space="preserve"> Diseñar, implementar y evaluar un sistema reproducible de segmentación tridimensional basado en aprendizaje profundo para </w:t>
      </w:r>
      <w:r>
        <w:rPr>
          <w:b/>
          <w:bCs/>
        </w:rPr>
        <w:t>determinar si</w:t>
      </w:r>
      <w:r>
        <w:t xml:space="preserve"> una ponderación adaptativa y ligera de las modalidades T1n, T1c, T2w y FLAIR mejora la delimitación de las regiones ET, TC y WT en BraTS-GLI 2024 frente a la concatenación directa de canales, considerando tanto el rendimiento de segmentación como el coste computacional.</w:t>
      </w:r>
    </w:p>
    <w:p w:rsidR="00914FAA" w:rsidRDefault="000E7DA8" w14:paraId="0369DFE0" w14:textId="77777777">
      <w:r>
        <w:rPr>
          <w:b/>
          <w:bCs/>
        </w:rPr>
        <w:t>Objetivos específicos:</w:t>
      </w:r>
    </w:p>
    <w:p w:rsidR="00914FAA" w:rsidRDefault="000E7DA8" w14:paraId="0FBE4F0C" w14:textId="77777777">
      <w:pPr>
        <w:numPr>
          <w:ilvl w:val="0"/>
          <w:numId w:val="4"/>
        </w:numPr>
      </w:pPr>
      <w:r>
        <w:t xml:space="preserve">Construir un </w:t>
      </w:r>
      <w:r>
        <w:rPr>
          <w:i/>
          <w:iCs/>
        </w:rPr>
        <w:t>pipeline</w:t>
      </w:r>
      <w:r>
        <w:t xml:space="preserve"> reproducible con MONAI para cargar los volúmenes MRI multimodales, transformar las etiquetas en las regiones objetivo, normalizar las intensidades por modalidad y aplicar aumento de datos durante el entrenamiento.</w:t>
      </w:r>
    </w:p>
    <w:p w:rsidR="00914FAA" w:rsidRDefault="000E7DA8" w14:paraId="12EB3B74" w14:textId="77777777">
      <w:pPr>
        <w:numPr>
          <w:ilvl w:val="0"/>
          <w:numId w:val="4"/>
        </w:numPr>
      </w:pPr>
      <w:r>
        <w:t>Implementar y entrenar una Residual U-Net 3D que reciba las cuatro modalidades concatenadas como canales de entrada, estableciendo el modelo base de las comparaciones.</w:t>
      </w:r>
    </w:p>
    <w:p w:rsidR="00914FAA" w:rsidRDefault="000E7DA8" w14:paraId="65549E8A" w14:textId="77777777">
      <w:pPr>
        <w:numPr>
          <w:ilvl w:val="0"/>
          <w:numId w:val="4"/>
        </w:numPr>
      </w:pPr>
      <w:r>
        <w:t>Diseñar e integrar, antes del codificador, una compuerta adaptativa ligera que estime un peso por modalidad en función del contenido de la entrada y lo aplique a los canales.</w:t>
      </w:r>
    </w:p>
    <w:p w:rsidR="00914FAA" w:rsidRDefault="000E7DA8" w14:paraId="7A530652" w14:textId="77777777">
      <w:pPr>
        <w:numPr>
          <w:ilvl w:val="0"/>
          <w:numId w:val="4"/>
        </w:numPr>
      </w:pPr>
      <w:r>
        <w:t>Realizar un estudio de ablación controlado que compare concatenación directa, ponderación global estática y dos variantes de ponderación adaptativa —basadas en la media y en media+desviación—, manteniendo constantes la arquitectura base, las particiones y el protocolo de entrenamiento.</w:t>
      </w:r>
    </w:p>
    <w:p w:rsidR="00914FAA" w:rsidRDefault="000E7DA8" w14:paraId="5E267119" w14:textId="77777777">
      <w:pPr>
        <w:numPr>
          <w:ilvl w:val="0"/>
          <w:numId w:val="4"/>
        </w:numPr>
      </w:pPr>
      <w:r>
        <w:t>Evaluar las variantes de fusión mediante Dice y HD95 para ET, TC y WT, y analizar su huella computacional a partir del número de parámetros y de los registros disponibles de tiempo y memoria.</w:t>
      </w:r>
    </w:p>
    <w:p w:rsidR="00914FAA" w:rsidRDefault="000E7DA8" w14:paraId="03CDA8EC" w14:textId="77777777">
      <w:pPr>
        <w:numPr>
          <w:ilvl w:val="0"/>
          <w:numId w:val="4"/>
        </w:numPr>
      </w:pPr>
      <w:r>
        <w:t xml:space="preserve">Contextualizar los resultados comparándolos con arquitecturas de referencia de mayor complejidad (Attention U-Net y Swin-UNETR) y con el </w:t>
      </w:r>
      <w:r>
        <w:rPr>
          <w:i/>
          <w:iCs/>
        </w:rPr>
        <w:t>baseline</w:t>
      </w:r>
      <w:r>
        <w:t xml:space="preserve"> externo nnU-Net.</w:t>
      </w:r>
    </w:p>
    <w:p w:rsidR="00914FAA" w:rsidRDefault="000E7DA8" w14:paraId="03D61B3D" w14:textId="4DDCE650">
      <w:r w:rsidR="7E3EFFA4">
        <w:rPr/>
        <w:t>E</w:t>
      </w:r>
      <w:r w:rsidR="6A5F4401">
        <w:rPr/>
        <w:t xml:space="preserve">l trabajo persigue </w:t>
      </w:r>
      <w:r w:rsidRPr="06910F8B" w:rsidR="6A5F4401">
        <w:rPr>
          <w:b w:val="1"/>
          <w:bCs w:val="1"/>
        </w:rPr>
        <w:t>responder</w:t>
      </w:r>
      <w:r w:rsidR="6A5F4401">
        <w:rPr/>
        <w:t xml:space="preserve"> la pregunta de investigación, sea la respuesta afirmativa o negativa.</w:t>
      </w:r>
    </w:p>
    <w:p w:rsidR="00914FAA" w:rsidRDefault="000E7DA8" w14:paraId="47DF9ACC" w14:textId="77777777">
      <w:pPr>
        <w:pStyle w:val="Ttulo2"/>
      </w:pPr>
      <w:bookmarkStart w:name="_Toc473990542" w:id="15"/>
      <w:bookmarkStart w:name="organización-del-documento" w:id="16"/>
      <w:bookmarkEnd w:id="12"/>
      <w:r>
        <w:lastRenderedPageBreak/>
        <w:t>1.4. Organización del documento</w:t>
      </w:r>
      <w:bookmarkEnd w:id="15"/>
    </w:p>
    <w:p w:rsidR="00914FAA" w:rsidRDefault="000E7DA8" w14:paraId="68426151" w14:textId="77777777">
      <w:commentRangeStart w:id="10"/>
      <w:r>
        <w:t>La memoria se estructura en seis capítulos que avanzan desde la contextualización del problema hasta la evaluación experimental de la solución.</w:t>
      </w:r>
      <w:commentRangeEnd w:id="10"/>
      <w:r>
        <w:rPr>
          <w:rStyle w:val="CommentReference"/>
        </w:rPr>
        <w:commentReference w:id="10"/>
      </w:r>
    </w:p>
    <w:p w:rsidR="00914FAA" w:rsidRDefault="000E7DA8" w14:paraId="559C5F21" w14:textId="77777777">
      <w:pPr>
        <w:numPr>
          <w:ilvl w:val="0"/>
          <w:numId w:val="5"/>
        </w:numPr>
      </w:pPr>
      <w:r>
        <w:rPr>
          <w:b/>
          <w:bCs/>
        </w:rPr>
        <w:t>Capítulo 1, Introducción.</w:t>
      </w:r>
      <w:r>
        <w:t xml:space="preserve"> Presenta el papel de la imagen médica y la inteligencia artificial en neuro-oncología, delimita el problema, formula la pregunta de investigación y fija los objetivos.</w:t>
      </w:r>
    </w:p>
    <w:p w:rsidR="00914FAA" w:rsidRDefault="000E7DA8" w14:paraId="6AFA54BF" w14:textId="6020137C">
      <w:pPr>
        <w:numPr>
          <w:ilvl w:val="0"/>
          <w:numId w:val="5"/>
        </w:numPr>
        <w:rPr/>
      </w:pPr>
      <w:r w:rsidRPr="06910F8B" w:rsidR="6A5F4401">
        <w:rPr>
          <w:b w:val="1"/>
          <w:bCs w:val="1"/>
        </w:rPr>
        <w:t>Capítulo 2, Marco teórico y estado del arte.</w:t>
      </w:r>
      <w:r w:rsidR="6A5F4401">
        <w:rPr/>
        <w:t xml:space="preserve"> Desarrolla los fundamentos</w:t>
      </w:r>
      <w:r w:rsidR="40666E4E">
        <w:rPr/>
        <w:t xml:space="preserve"> tales como la</w:t>
      </w:r>
      <w:r w:rsidR="6A5F4401">
        <w:rPr/>
        <w:t xml:space="preserve"> segmentación 3D de imagen médica, arquitecturas U-Net y variantes, mecanismos de atención, modelos basados en Transformers y estrategias de fusión multimodal</w:t>
      </w:r>
      <w:r w:rsidR="08BFB0ED">
        <w:rPr/>
        <w:t>. P</w:t>
      </w:r>
      <w:r w:rsidR="6A5F4401">
        <w:rPr/>
        <w:t xml:space="preserve">resenta el </w:t>
      </w:r>
      <w:r w:rsidRPr="06910F8B" w:rsidR="6A5F4401">
        <w:rPr>
          <w:i w:val="1"/>
          <w:iCs w:val="1"/>
        </w:rPr>
        <w:t>benchmark</w:t>
      </w:r>
      <w:r w:rsidR="6A5F4401">
        <w:rPr/>
        <w:t xml:space="preserve"> </w:t>
      </w:r>
      <w:r w:rsidR="6A5F4401">
        <w:rPr/>
        <w:t>BraTS</w:t>
      </w:r>
      <w:r w:rsidR="6A5F4401">
        <w:rPr/>
        <w:t xml:space="preserve"> y formaliza las métricas Dice y HD95.</w:t>
      </w:r>
    </w:p>
    <w:p w:rsidR="00914FAA" w:rsidRDefault="000E7DA8" w14:paraId="20920279" w14:textId="77777777">
      <w:pPr>
        <w:numPr>
          <w:ilvl w:val="0"/>
          <w:numId w:val="5"/>
        </w:numPr>
      </w:pPr>
      <w:r>
        <w:rPr>
          <w:b/>
          <w:bCs/>
        </w:rPr>
        <w:t>Capítulo 3, Metodología.</w:t>
      </w:r>
      <w:r>
        <w:t xml:space="preserve"> Expone las fases de alto nivel del trabajo (familiarización, análisis y preparación de datos, diseño e implementación, experimentación y evaluación), centrándose en el proceso y dejando el detalle técnico para el capítulo siguiente.</w:t>
      </w:r>
    </w:p>
    <w:p w:rsidR="00914FAA" w:rsidRDefault="000E7DA8" w14:paraId="1C75A2C4" w14:textId="5A6F8863">
      <w:pPr>
        <w:numPr>
          <w:ilvl w:val="0"/>
          <w:numId w:val="5"/>
        </w:numPr>
        <w:rPr/>
      </w:pPr>
      <w:r w:rsidRPr="06910F8B" w:rsidR="6A5F4401">
        <w:rPr>
          <w:b w:val="1"/>
          <w:bCs w:val="1"/>
        </w:rPr>
        <w:t>Capítulo 4, Desarrollo.</w:t>
      </w:r>
      <w:r w:rsidR="6A5F4401">
        <w:rPr/>
        <w:t xml:space="preserve"> Describe la materialización técnica de cada fase</w:t>
      </w:r>
      <w:r w:rsidR="3D6836AB">
        <w:rPr/>
        <w:t xml:space="preserve"> tales como la</w:t>
      </w:r>
      <w:r w:rsidR="6A5F4401">
        <w:rPr/>
        <w:t xml:space="preserve"> organización del repositorio, </w:t>
      </w:r>
      <w:r w:rsidR="35D0637D">
        <w:rPr/>
        <w:t xml:space="preserve">el </w:t>
      </w:r>
      <w:r w:rsidRPr="06910F8B" w:rsidR="6A5F4401">
        <w:rPr>
          <w:i w:val="1"/>
          <w:iCs w:val="1"/>
        </w:rPr>
        <w:t>pipeline</w:t>
      </w:r>
      <w:r w:rsidR="6A5F4401">
        <w:rPr/>
        <w:t xml:space="preserve"> MONAI, arquitecturas, mecanismos de fusión, configuración del entrenamiento, inferencia por ventana deslizante y medidas de reproducibilidad.</w:t>
      </w:r>
    </w:p>
    <w:p w:rsidR="00914FAA" w:rsidRDefault="000E7DA8" w14:paraId="67F205A1" w14:textId="77777777">
      <w:pPr>
        <w:numPr>
          <w:ilvl w:val="0"/>
          <w:numId w:val="5"/>
        </w:numPr>
      </w:pPr>
      <w:r>
        <w:rPr>
          <w:b/>
          <w:bCs/>
        </w:rPr>
        <w:t>Capítulo 5, Resultados.</w:t>
      </w:r>
      <w:r>
        <w:t xml:space="preserve"> Compara las estrategias de fusión y las arquitecturas mediante Dice y HD95 por región sobre el conjunto de test, y examina el coste computacional.</w:t>
      </w:r>
    </w:p>
    <w:p w:rsidR="00914FAA" w:rsidRDefault="000E7DA8" w14:paraId="4ACED5D1" w14:textId="77777777">
      <w:pPr>
        <w:numPr>
          <w:ilvl w:val="0"/>
          <w:numId w:val="5"/>
        </w:numPr>
      </w:pPr>
      <w:r>
        <w:rPr>
          <w:b/>
          <w:bCs/>
        </w:rPr>
        <w:t>Capítulo 6, Conclusiones.</w:t>
      </w:r>
      <w:r>
        <w:t xml:space="preserve"> Sintetiza los hallazgos, responde a la pregunta de investigación, valora el cumplimiento de los objetivos y expone limitaciones y líneas de trabajo futuro.</w:t>
      </w:r>
    </w:p>
    <w:p w:rsidR="00914FAA" w:rsidRDefault="000E7DA8" w14:paraId="7BED9514" w14:textId="77777777">
      <w:r>
        <w:t>Tras estos capítulos se incluyen la relación completa de referencias bibliográficas y un apéndice de reproducibilidad.</w:t>
      </w:r>
    </w:p>
    <w:p w:rsidR="00914FAA" w:rsidRDefault="000E7DA8" w14:paraId="647D1E85" w14:textId="77777777">
      <w:pPr>
        <w:pStyle w:val="Ttulo1"/>
        <w:pageBreakBefore/>
      </w:pPr>
      <w:bookmarkStart w:name="_Toc2012357080" w:id="17"/>
      <w:bookmarkStart w:name="marco-teórico-y-estado-del-arte" w:id="18"/>
      <w:bookmarkEnd w:id="14"/>
      <w:bookmarkEnd w:id="16"/>
      <w:r>
        <w:lastRenderedPageBreak/>
        <w:t>2. Marco teórico y estado del arte</w:t>
      </w:r>
      <w:bookmarkEnd w:id="17"/>
    </w:p>
    <w:p w:rsidR="00914FAA" w:rsidRDefault="000E7DA8" w14:paraId="2F08B0B4" w14:textId="6A3B5DFA">
      <w:commentRangeStart w:id="11"/>
      <w:r w:rsidR="6A5F4401">
        <w:rPr/>
        <w:t xml:space="preserve">Este capítulo presenta los fundamentos necesarios para situar la aportación del TFM. Primero se describe la evolución desde las redes completamente convolucionales hasta las arquitecturas 3D con conexiones residuales, atención y </w:t>
      </w:r>
      <w:r w:rsidRPr="06910F8B" w:rsidR="6A5F4401">
        <w:rPr>
          <w:i w:val="1"/>
          <w:iCs w:val="1"/>
        </w:rPr>
        <w:t>Transformers</w:t>
      </w:r>
      <w:r w:rsidR="6A5F4401">
        <w:rPr/>
        <w:t xml:space="preserve">. A </w:t>
      </w:r>
      <w:r w:rsidR="6A5F4401">
        <w:rPr/>
        <w:t>continuación</w:t>
      </w:r>
      <w:r w:rsidR="6A5F4401">
        <w:rPr/>
        <w:t xml:space="preserve"> se ordena la literatura sobre fusión multimodal distinguiendo dos decisiones que a menudo se confunden</w:t>
      </w:r>
      <w:r w:rsidR="5EE885B5">
        <w:rPr/>
        <w:t xml:space="preserve">, como son, </w:t>
      </w:r>
      <w:r w:rsidRPr="06910F8B" w:rsidR="6A5F4401">
        <w:rPr>
          <w:b w:val="1"/>
          <w:bCs w:val="1"/>
        </w:rPr>
        <w:t>en qué etapa</w:t>
      </w:r>
      <w:r w:rsidR="6A5F4401">
        <w:rPr/>
        <w:t xml:space="preserve"> se integran las modalidades y </w:t>
      </w:r>
      <w:r w:rsidRPr="06910F8B" w:rsidR="6A5F4401">
        <w:rPr>
          <w:b w:val="1"/>
          <w:bCs w:val="1"/>
        </w:rPr>
        <w:t>mediante qué regla</w:t>
      </w:r>
      <w:r w:rsidR="6A5F4401">
        <w:rPr/>
        <w:t xml:space="preserve"> se combinan. Por último, se introduce el </w:t>
      </w:r>
      <w:r w:rsidRPr="06910F8B" w:rsidR="6A5F4401">
        <w:rPr>
          <w:i w:val="1"/>
          <w:iCs w:val="1"/>
        </w:rPr>
        <w:t>benchmark</w:t>
      </w:r>
      <w:r w:rsidR="6A5F4401">
        <w:rPr/>
        <w:t xml:space="preserve"> </w:t>
      </w:r>
      <w:r w:rsidR="6A5F4401">
        <w:rPr/>
        <w:t>BraTS</w:t>
      </w:r>
      <w:r w:rsidR="6A5F4401">
        <w:rPr/>
        <w:t>-GLI 2024, se formalizan las métricas de evaluación, se delimita el análisis de coste computacional y se justifican las implementaciones consideradas en el trabajo. Esta revisión permite concretar la brecha abordada</w:t>
      </w:r>
      <w:r w:rsidR="357D92B0">
        <w:rPr/>
        <w:t xml:space="preserve"> de </w:t>
      </w:r>
      <w:r w:rsidR="6A5F4401">
        <w:rPr/>
        <w:t>comprobar de forma controlada si una ponderación ligera y dependiente de la entrada aporta ventajas frente a la concatenación, sin cambiar la red de segmentación que recibe las modalidades.</w:t>
      </w:r>
      <w:commentRangeEnd w:id="11"/>
      <w:r>
        <w:rPr>
          <w:rStyle w:val="CommentReference"/>
        </w:rPr>
        <w:commentReference w:id="11"/>
      </w:r>
    </w:p>
    <w:p w:rsidR="06910F8B" w:rsidRDefault="06910F8B" w14:paraId="4BC4F692" w14:textId="56849B74"/>
    <w:p w:rsidR="00914FAA" w:rsidRDefault="000E7DA8" w14:paraId="7B6FC1CD" w14:textId="77777777">
      <w:pPr>
        <w:pStyle w:val="Ttulo2"/>
      </w:pPr>
      <w:bookmarkStart w:name="_Toc783194407" w:id="19"/>
      <w:bookmarkStart w:name="X9010270f9f72e6f804ec0f269a51884fc378487" w:id="20"/>
      <w:r>
        <w:t>2.1. De las redes completamente convolucionales a U-Net 3D</w:t>
      </w:r>
      <w:bookmarkEnd w:id="19"/>
    </w:p>
    <w:p w:rsidR="00914FAA" w:rsidRDefault="000E7DA8" w14:paraId="096AE291" w14:textId="376AF133">
      <w:r w:rsidR="6A5F4401">
        <w:rPr/>
        <w:t xml:space="preserve">La segmentación semántica asigna una clase a cada elemento de una imagen. En MRI volumétrica, la entrada puede representarse como un tensor con </w:t>
      </w:r>
      <m:oMath xmlns:m="http://schemas.openxmlformats.org/officeDocument/2006/math">
        <m:r xmlns:m="http://schemas.openxmlformats.org/officeDocument/2006/math">
          <w:rPr xmlns:w="http://schemas.openxmlformats.org/wordprocessingml/2006/main">
            <w:rFonts w:ascii="Cambria Math" w:hAnsi="Cambria Math"/>
          </w:rPr>
          <m:t xmlns:m="http://schemas.openxmlformats.org/officeDocument/2006/math">M</m:t>
        </m:r>
      </m:oMath>
      <w:r w:rsidR="420871E0">
        <w:rPr/>
        <w:t xml:space="preserve">   </w:t>
      </w:r>
      <w:r w:rsidR="6A5F4401">
        <w:rPr/>
        <w:t xml:space="preserve"> modalidades y tres dimensiones espaciales, y la salida como uno o varios mapas de probabilidad con la misma correspondencia anatómica. Las </w:t>
      </w:r>
      <w:r w:rsidRPr="06910F8B" w:rsidR="6A5F4401">
        <w:rPr>
          <w:b w:val="1"/>
          <w:bCs w:val="1"/>
        </w:rPr>
        <w:t>redes completamente convolucionales</w:t>
      </w:r>
      <w:r w:rsidR="6A5F4401">
        <w:rPr/>
        <w:t xml:space="preserve"> (FCN) sustituyeron las capas densas finales de los clasificadores por operadores convolucionales y mecanismos de </w:t>
      </w:r>
      <w:r w:rsidR="6A5F4401">
        <w:rPr/>
        <w:t>remuestreo</w:t>
      </w:r>
      <w:r w:rsidR="6A5F4401">
        <w:rPr/>
        <w:t>, haciendo posible una predicción densa de extremo a extremo (Long et al., 2015). Su principal dificultad era recuperar con precisión la localización espacial después de las sucesivas reducciones de resolución del codificador.</w:t>
      </w:r>
    </w:p>
    <w:p w:rsidR="00914FAA" w:rsidRDefault="000E7DA8" w14:paraId="64828959" w14:textId="77777777">
      <w:r>
        <w:t>U-Net respondió a ese problema con una estructura aproximadamente simétrica formada por un camino de contracción y otro de expansión. Las conexiones de salto trasladan al decodificador características de alta resolución producidas por el codificador, de forma que la decisión final combina contexto semántico y detalle espacial (Ronneberger et al., 2015). Esta organización resulta especialmente adecuada para imagen biomédica, donde las estructuras de interés pueden ser pequeñas y el número de ejemplos anotados suele ser limitado.</w:t>
      </w:r>
    </w:p>
    <w:p w:rsidR="00914FAA" w:rsidRDefault="000E7DA8" w14:paraId="7EDC0FC4" w14:textId="77777777">
      <w:r>
        <w:t xml:space="preserve">La extensión </w:t>
      </w:r>
      <w:r>
        <w:rPr>
          <w:b/>
          <w:bCs/>
        </w:rPr>
        <w:t>U-Net 3D</w:t>
      </w:r>
      <w:r>
        <w:t xml:space="preserve"> reemplaza los operadores bidimensionales por convoluciones, normalizaciones y remuestreos tridimensionales. Así se modela la continuidad entre cortes en lugar de tratar cada plano como una observación independiente. Çiçek et al. (2016) mostraron que esta formulación permite aprender segmentación volumétrica incluso a partir de anotaciones escasas, mientras que V-Net desarrolló otra arquitectura completamente convolucional 3D e introdujo una función objetivo basada en Dice para afrontar el fuerte desequilibrio entre fondo y lesión (Milletari et al., 2016).</w:t>
      </w:r>
    </w:p>
    <w:p w:rsidR="00914FAA" w:rsidRDefault="000E7DA8" w14:paraId="5B55DCBF" w14:textId="0F016967">
      <w:r w:rsidR="6A5F4401">
        <w:rPr/>
        <w:t>El procesamiento 3D conserva más contexto anatómico, pero incrementa de manera pronunciada la memoria ocupada por las activaciones. Por ello, los sistemas volumétricos suelen entrenarse sobre parches y reconstruir la predicción completa mediante ventanas solapadas. El tamaño de parche pasa a ser una decisión conjunta de contexto, resolución y memoria</w:t>
      </w:r>
      <w:r w:rsidR="2CE9C71B">
        <w:rPr/>
        <w:t>. U</w:t>
      </w:r>
      <w:r w:rsidR="6A5F4401">
        <w:rPr/>
        <w:t>n parche mayor aporta más información global, pero limita el tamaño de</w:t>
      </w:r>
      <w:r w:rsidR="1FC522D8">
        <w:rPr/>
        <w:t>l</w:t>
      </w:r>
      <w:r w:rsidR="6A5F4401">
        <w:rPr/>
        <w:t xml:space="preserve"> lote o la capacidad de la red. Esta tensión explica por qué una arquitectura teóricamente más expresiva no es necesariamente la mejor bajo un presupuesto de cómputo fijo.</w:t>
      </w:r>
    </w:p>
    <w:p w:rsidR="06910F8B" w:rsidP="06910F8B" w:rsidRDefault="06910F8B" w14:paraId="6581C367" w14:textId="142777CB">
      <w:pPr>
        <w:pStyle w:val="Ttulo2"/>
      </w:pPr>
    </w:p>
    <w:p w:rsidR="00914FAA" w:rsidRDefault="000E7DA8" w14:paraId="08025FAF" w14:textId="77777777">
      <w:pPr>
        <w:pStyle w:val="Ttulo2"/>
      </w:pPr>
      <w:bookmarkStart w:name="_Toc123723436" w:id="21"/>
      <w:bookmarkStart w:name="Xe31c1bec1939cbc5814166bf703a3cb495ca098" w:id="22"/>
      <w:bookmarkEnd w:id="18"/>
      <w:r w:rsidR="6A5F4401">
        <w:rPr/>
        <w:t>2.2. Refinamientos convolucionales: residuos, atención y auto-configuración</w:t>
      </w:r>
      <w:bookmarkEnd w:id="21"/>
    </w:p>
    <w:p w:rsidR="1E78ADC9" w:rsidP="06910F8B" w:rsidRDefault="1E78ADC9" w14:paraId="2EE991F8" w14:textId="6DA3CB88">
      <w:pPr>
        <w:pStyle w:val="Normal"/>
      </w:pPr>
      <w:r w:rsidR="1E78ADC9">
        <w:rPr/>
        <w:t>Sobre la estructura básica de U-Net se han desarrollado mejoras que actúan sobre distintos componentes del sistema. Esta sección revisa tres especialmente relevantes para el diseño y la interpretación de los experimentos: las conexiones residuales, que facilitan la optimización de redes profundas; las compuertas de atención, que seleccionan las características transmitidas por las conexiones de salto; y nnU-Net, que automatiza decisiones de configuración del pipeline completo. Aunque las tres propuestas parten de la familia U-Net, no resuelven el mismo problema ni equivalen a estrategias de fusión multimodal. Esta distinción permite justificar el uso de una Residual U-Net como base del estudio, de Attention U-Net como referencia arquitectónica y de nnU-Net como referencia externa.</w:t>
      </w:r>
    </w:p>
    <w:p w:rsidR="06910F8B" w:rsidP="06910F8B" w:rsidRDefault="06910F8B" w14:paraId="3518A33E" w14:textId="10BFCA0A">
      <w:pPr>
        <w:pStyle w:val="Normal"/>
      </w:pPr>
    </w:p>
    <w:p w:rsidR="00914FAA" w:rsidRDefault="000E7DA8" w14:paraId="5E1D7D50" w14:textId="77777777">
      <w:pPr>
        <w:pStyle w:val="Ttulo3"/>
      </w:pPr>
      <w:bookmarkStart w:name="_Toc747822558" w:id="23"/>
      <w:bookmarkStart w:name="conexiones-residuales" w:id="24"/>
      <w:r>
        <w:t>2.2.1. Conexiones residuales</w:t>
      </w:r>
      <w:bookmarkEnd w:id="23"/>
    </w:p>
    <w:p w:rsidR="00914FAA" w:rsidRDefault="000E7DA8" w14:paraId="2C5D3D81" w14:textId="77777777">
      <w:r>
        <w:t>Las redes profundas pueden resultar difíciles de optimizar porque cada bloque debe aprender una transformación completa y el gradiente atraviesa una cadena larga de operaciones. Una conexión residual reformula un bloque como</w:t>
      </w:r>
    </w:p>
    <w:p w:rsidR="00914FAA" w:rsidP="06910F8B" w:rsidRDefault="000E7DA8" w14:paraId="100D56BB" w14:textId="2CB77F54">
      <w:pPr>
        <w:jc w:val="center"/>
      </w:pPr>
      <w:r w:rsidR="795E873E">
        <w:rPr/>
        <w:t xml:space="preserve">                          </w:t>
      </w:r>
    </w:p>
    <w:p w:rsidR="00914FAA" w:rsidRDefault="000E7DA8" w14:paraId="6AC507BE" w14:textId="5022754C">
      <w:r w:rsidR="6A5F4401">
        <w:rPr/>
        <w:t xml:space="preserve">donde </w:t>
      </w:r>
      <m:oMath xmlns:m="http://schemas.openxmlformats.org/officeDocument/2006/math">
        <m:r xmlns:m="http://schemas.openxmlformats.org/officeDocument/2006/math">
          <m:rPr xmlns:m="http://schemas.openxmlformats.org/officeDocument/2006/math">
            <m:scr m:val="script"/>
            <m:sty m:val="p"/>
          </m:rPr>
          <w:rPr xmlns:w="http://schemas.openxmlformats.org/wordprocessingml/2006/main">
            <w:rFonts w:ascii="Cambria Math" w:hAnsi="Cambria Math"/>
          </w:rPr>
          <m:t xmlns:m="http://schemas.openxmlformats.org/officeDocument/2006/math">F</m:t>
        </m:r>
      </m:oMath>
      <w:r w:rsidR="087CFC26">
        <w:rPr/>
        <w:t xml:space="preserve">  </w:t>
      </w:r>
      <w:r w:rsidR="6A5F4401">
        <w:rPr/>
        <w:t>aprende el residuo respecto de la identidad. Este camino directo facilita la propagación de información y gradientes y permi</w:t>
      </w:r>
      <w:r w:rsidR="0FD41AE3">
        <w:rPr/>
        <w:t xml:space="preserve">te </w:t>
      </w:r>
      <w:r w:rsidR="6A5F4401">
        <w:rPr/>
        <w:t xml:space="preserve">entrenar redes considerablemente más profundas (He et al., 2016). En una </w:t>
      </w:r>
      <w:r w:rsidRPr="06910F8B" w:rsidR="6A5F4401">
        <w:rPr>
          <w:b w:val="1"/>
          <w:bCs w:val="1"/>
        </w:rPr>
        <w:t>Residual U-Net</w:t>
      </w:r>
      <w:r w:rsidR="6A5F4401">
        <w:rPr/>
        <w:t>, estos bloques se incorporan al codificador y al decodificador sin eliminar las conexiones de salto entre ambos caminos. Se preserva así la estructura multiescala de U-Net y se mejora la optimización interna de cada nivel.</w:t>
      </w:r>
    </w:p>
    <w:p w:rsidR="00914FAA" w:rsidRDefault="000E7DA8" w14:paraId="23C6ECA0" w14:textId="255F1184">
      <w:commentRangeStart w:id="12"/>
      <w:r w:rsidR="6A5F4401">
        <w:rPr/>
        <w:t>Las conexiones residuales no deben confundirse con una estrategia de fusión multimodal. Un bloque residual modifica cómo se transforman las características dentro de la red</w:t>
      </w:r>
      <w:r w:rsidR="4B439D23">
        <w:rPr/>
        <w:t>, de tal manera que</w:t>
      </w:r>
      <w:r w:rsidR="6A5F4401">
        <w:rPr/>
        <w:t xml:space="preserve"> la fusión determina cómo llegan al modelo las distintas secuencias MRI. Esta independencia permite mantener fija una Residual U-Net 3D y cambiar únicamente la regla de combinación de modalidades, que es el diseño del estudio de ablación de este TFM.</w:t>
      </w:r>
      <w:commentRangeEnd w:id="12"/>
      <w:r>
        <w:rPr>
          <w:rStyle w:val="CommentReference"/>
        </w:rPr>
        <w:commentReference w:id="12"/>
      </w:r>
    </w:p>
    <w:p w:rsidR="00914FAA" w:rsidRDefault="000E7DA8" w14:paraId="21707F7B" w14:textId="77777777">
      <w:pPr>
        <w:pStyle w:val="Ttulo3"/>
      </w:pPr>
      <w:bookmarkStart w:name="_Toc1664469222" w:id="25"/>
      <w:bookmarkStart w:name="compuertas-de-atención" w:id="26"/>
      <w:bookmarkEnd w:id="20"/>
      <w:r>
        <w:t>2.2.2. Compuertas de atención</w:t>
      </w:r>
      <w:bookmarkEnd w:id="25"/>
    </w:p>
    <w:p w:rsidR="00914FAA" w:rsidRDefault="000E7DA8" w14:paraId="73D764DA" w14:textId="585F5E86">
      <w:r w:rsidR="6A5F4401">
        <w:rPr/>
        <w:t xml:space="preserve">Las conexiones de salto de U-Net transmiten tanto señales relevantes como activaciones de fondo. </w:t>
      </w:r>
      <w:r w:rsidRPr="06910F8B" w:rsidR="6A5F4401">
        <w:rPr>
          <w:b w:val="1"/>
          <w:bCs w:val="1"/>
        </w:rPr>
        <w:t>Attention</w:t>
      </w:r>
      <w:r w:rsidRPr="06910F8B" w:rsidR="6A5F4401">
        <w:rPr>
          <w:b w:val="1"/>
          <w:bCs w:val="1"/>
        </w:rPr>
        <w:t xml:space="preserve"> U-Net</w:t>
      </w:r>
      <w:r w:rsidR="6A5F4401">
        <w:rPr/>
        <w:t xml:space="preserve"> incorpora compuertas que utilizan una señal de contexto procedente del decodificador para modular espacialmente las características del codificador antes de combinarlas (Oktay et al., 2018). El mecanismo dirige capacidad hacia regiones compatibles con el objetivo y puede reducir respuestas irrelevantes sin exigir una red de localización separada. El trabajo original se validó sobre segmentación abdominal</w:t>
      </w:r>
      <w:r w:rsidR="13B80F43">
        <w:rPr/>
        <w:t>.</w:t>
      </w:r>
      <w:r w:rsidR="6A5F4401">
        <w:rPr/>
        <w:t xml:space="preserve"> </w:t>
      </w:r>
      <w:r w:rsidR="7C4FBC58">
        <w:rPr/>
        <w:t>S</w:t>
      </w:r>
      <w:r w:rsidR="6A5F4401">
        <w:rPr/>
        <w:t>u utilidad en gliomas debe, por tanto, evaluarse experimentalmente y no asumirse por traslación directa entre dominios.</w:t>
      </w:r>
    </w:p>
    <w:p w:rsidR="00914FAA" w:rsidRDefault="000E7DA8" w14:paraId="2944F0DD" w14:textId="0C0ADFF8">
      <w:commentRangeStart w:id="13"/>
      <w:r w:rsidR="6A5F4401">
        <w:rPr/>
        <w:t>Esta atención sobre conexiones de salto tampoco equivale a ponderar modalidades. La primera asigna relevancia a posiciones y características internas</w:t>
      </w:r>
      <w:r w:rsidR="3A36133C">
        <w:rPr/>
        <w:t xml:space="preserve">, es decir, </w:t>
      </w:r>
      <w:r w:rsidR="6A5F4401">
        <w:rPr/>
        <w:t xml:space="preserve">una compuerta de </w:t>
      </w:r>
      <w:r w:rsidR="6A5F4401">
        <w:rPr/>
        <w:t xml:space="preserve">modalidad decide cuánto contribuye cada secuencia de entrada. </w:t>
      </w:r>
      <w:r w:rsidR="6A5F4401">
        <w:rPr/>
        <w:t>Attention</w:t>
      </w:r>
      <w:r w:rsidR="6A5F4401">
        <w:rPr/>
        <w:t xml:space="preserve"> U-Net se incluye en este TFM como referencia arquitectónica contextual, mientras que la hipótesis principal se estudia sobre una red residual fija.</w:t>
      </w:r>
      <w:commentRangeEnd w:id="13"/>
      <w:r>
        <w:rPr>
          <w:rStyle w:val="CommentReference"/>
        </w:rPr>
        <w:commentReference w:id="13"/>
      </w:r>
    </w:p>
    <w:p w:rsidR="06910F8B" w:rsidRDefault="06910F8B" w14:paraId="6C823EAA" w14:textId="446D7F69"/>
    <w:p w:rsidR="00914FAA" w:rsidRDefault="000E7DA8" w14:paraId="54D916E4" w14:textId="77777777">
      <w:pPr>
        <w:pStyle w:val="Ttulo3"/>
      </w:pPr>
      <w:bookmarkStart w:name="_Toc2029602889" w:id="27"/>
      <w:bookmarkStart w:name="nnu-net-como-pipeline-auto-configurable" w:id="28"/>
      <w:bookmarkEnd w:id="22"/>
      <w:r>
        <w:t xml:space="preserve">2.2.3. nnU-Net como </w:t>
      </w:r>
      <w:r w:rsidRPr="6E9E5ECF">
        <w:rPr>
          <w:i/>
          <w:iCs/>
        </w:rPr>
        <w:t>pipeline</w:t>
      </w:r>
      <w:r>
        <w:t xml:space="preserve"> auto-configurable</w:t>
      </w:r>
      <w:bookmarkEnd w:id="27"/>
    </w:p>
    <w:p w:rsidR="00914FAA" w:rsidRDefault="000E7DA8" w14:paraId="2750030B" w14:textId="77777777">
      <w:r>
        <w:t>nnU-Net no es solamente una nueva variante de U-Net. Es un método auto-configurable que obtiene una «huella» del conjunto de datos y, a partir de ella, adapta el preprocesamiento, la configuración 2D o 3D, el tamaño de parche y de lote, el entrenamiento, el posprocesado y la inferencia. Su propuesta es que una parte sustancial del rendimiento depende de decisiones de ingeniería coherentes con cada conjunto de datos, no solo de introducir módulos arquitectónicos novedosos (Isensee et al., 2021).</w:t>
      </w:r>
    </w:p>
    <w:p w:rsidR="00914FAA" w:rsidRDefault="000E7DA8" w14:paraId="43918B25" w14:textId="77777777">
      <w:r w:rsidR="6A5F4401">
        <w:rPr/>
        <w:t xml:space="preserve">Esta distinción es relevante para interpretar comparaciones. Un resultado de nnU-Net refleja un sistema completo auto-configurado, mientras que las variantes de fusión del TFM comparten un </w:t>
      </w:r>
      <w:r w:rsidRPr="06910F8B" w:rsidR="6A5F4401">
        <w:rPr>
          <w:i w:val="1"/>
          <w:iCs w:val="1"/>
        </w:rPr>
        <w:t>pipeline</w:t>
      </w:r>
      <w:r w:rsidR="6A5F4401">
        <w:rPr/>
        <w:t xml:space="preserve"> MONAI y modifican una única variable. nnU-Net constituye por ello un </w:t>
      </w:r>
      <w:r w:rsidRPr="06910F8B" w:rsidR="6A5F4401">
        <w:rPr>
          <w:i w:val="1"/>
          <w:iCs w:val="1"/>
        </w:rPr>
        <w:t>baseline</w:t>
      </w:r>
      <w:r w:rsidR="6A5F4401">
        <w:rPr/>
        <w:t xml:space="preserve"> externo fuerte para contextualizar el nivel alcanzado, pero no forma parte de la ablación causal entre reglas de fusión.</w:t>
      </w:r>
    </w:p>
    <w:p w:rsidR="06910F8B" w:rsidRDefault="06910F8B" w14:paraId="1D002047" w14:textId="58D2BE60"/>
    <w:p w:rsidR="06910F8B" w:rsidRDefault="06910F8B" w14:paraId="49F18841" w14:textId="3E8283D0"/>
    <w:p w:rsidR="00914FAA" w:rsidRDefault="000E7DA8" w14:paraId="4193F597" w14:textId="77777777">
      <w:pPr>
        <w:pStyle w:val="Ttulo2"/>
      </w:pPr>
      <w:bookmarkStart w:name="_Toc712459553" w:id="29"/>
      <w:bookmarkStart w:name="X470e97582000ff0f795e13d04c441976014b6ac" w:id="30"/>
      <w:bookmarkEnd w:id="24"/>
      <w:bookmarkEnd w:id="26"/>
      <w:r>
        <w:t xml:space="preserve">2.3. </w:t>
      </w:r>
      <w:r w:rsidRPr="6E9E5ECF">
        <w:rPr>
          <w:i/>
          <w:iCs/>
        </w:rPr>
        <w:t>Transformers</w:t>
      </w:r>
      <w:r>
        <w:t xml:space="preserve"> y arquitecturas híbridas para segmentación 3D</w:t>
      </w:r>
      <w:bookmarkEnd w:id="29"/>
    </w:p>
    <w:p w:rsidR="00914FAA" w:rsidRDefault="000E7DA8" w14:paraId="644171F4" w14:textId="1EE2F94A">
      <w:r w:rsidR="6A5F4401">
        <w:rPr/>
        <w:t xml:space="preserve">El mecanismo de autoatención de los </w:t>
      </w:r>
      <w:r w:rsidRPr="06910F8B" w:rsidR="6A5F4401">
        <w:rPr>
          <w:i w:val="1"/>
          <w:iCs w:val="1"/>
        </w:rPr>
        <w:t>Transformers</w:t>
      </w:r>
      <w:r w:rsidR="6A5F4401">
        <w:rPr/>
        <w:t xml:space="preserve"> relaciona cada elemento de una secuencia con los demás y facilita el modelado de dependencias de largo alcance (Vaswani et al., 2017). Vision </w:t>
      </w:r>
      <w:r w:rsidR="6A5F4401">
        <w:rPr/>
        <w:t>Transformer</w:t>
      </w:r>
      <w:r w:rsidR="6A5F4401">
        <w:rPr/>
        <w:t xml:space="preserve"> trasladó esta idea a imágenes al dividirlas en parches, proyectarlos como </w:t>
      </w:r>
      <w:r w:rsidRPr="06910F8B" w:rsidR="6A5F4401">
        <w:rPr>
          <w:i w:val="1"/>
          <w:iCs w:val="1"/>
        </w:rPr>
        <w:t>tokens</w:t>
      </w:r>
      <w:r w:rsidR="6A5F4401">
        <w:rPr/>
        <w:t xml:space="preserve"> y procesarlos mediante un codificador </w:t>
      </w:r>
      <w:r w:rsidR="6A5F4401">
        <w:rPr/>
        <w:t>Transformer</w:t>
      </w:r>
      <w:r w:rsidR="6A5F4401">
        <w:rPr/>
        <w:t xml:space="preserve"> (</w:t>
      </w:r>
      <w:r w:rsidR="6A5F4401">
        <w:rPr/>
        <w:t>Dosovitskiy</w:t>
      </w:r>
      <w:r w:rsidR="6A5F4401">
        <w:rPr/>
        <w:t xml:space="preserve"> et al., 2021). En segmentación médica 3D, la ventaja potencial es incorporar contexto distribuido por el volumen</w:t>
      </w:r>
      <w:r w:rsidR="6461D0F1">
        <w:rPr/>
        <w:t xml:space="preserve">. Sin embargo, </w:t>
      </w:r>
      <w:r w:rsidR="6A5F4401">
        <w:rPr/>
        <w:t xml:space="preserve">la contrapartida es que la autoatención global crece cuadráticamente con el número de </w:t>
      </w:r>
      <w:r w:rsidRPr="06910F8B" w:rsidR="6A5F4401">
        <w:rPr>
          <w:i w:val="1"/>
          <w:iCs w:val="1"/>
        </w:rPr>
        <w:t>tokens</w:t>
      </w:r>
      <w:r w:rsidR="6A5F4401">
        <w:rPr/>
        <w:t>, que puede ser muy elevado en datos volumétricos.</w:t>
      </w:r>
    </w:p>
    <w:p w:rsidR="00914FAA" w:rsidRDefault="000E7DA8" w14:paraId="3DBD7E26" w14:textId="77777777">
      <w:r>
        <w:t>Swin Transformer limita la atención a ventanas locales y desplaza esas ventanas entre bloques para permitir intercambio de información entre regiones vecinas. Además, construye una jerarquía de características con distintas resoluciones, apropiada para tareas densas y con una complejidad más controlada respecto al número de elementos de la imagen (Liu et al., 2021). Esta combinación de jerarquía y ventanas desplazadas acerca el comportamiento de un Transformer a la representación multiescala que requieren los decodificadores tipo U-Net.</w:t>
      </w:r>
    </w:p>
    <w:p w:rsidR="00914FAA" w:rsidRDefault="000E7DA8" w14:paraId="299D4FD9" w14:textId="60E2CD7E">
      <w:r w:rsidR="6A5F4401">
        <w:rPr/>
        <w:t xml:space="preserve">En imagen médica se han propuesto varias formas de integrar este paradigma. </w:t>
      </w:r>
      <w:r w:rsidRPr="06910F8B" w:rsidR="6A5F4401">
        <w:rPr>
          <w:b w:val="1"/>
          <w:bCs w:val="1"/>
        </w:rPr>
        <w:t>UNETR</w:t>
      </w:r>
      <w:r w:rsidR="6A5F4401">
        <w:rPr/>
        <w:t xml:space="preserve"> emplea un </w:t>
      </w:r>
      <w:r w:rsidR="6A5F4401">
        <w:rPr/>
        <w:t>Transformer</w:t>
      </w:r>
      <w:r w:rsidR="6A5F4401">
        <w:rPr/>
        <w:t xml:space="preserve"> como codificador de una secuencia de parches volumétricos y conecta representaciones de distintas profundidades con un decodificador convolucional (Hatamizadeh et al., 2022). </w:t>
      </w:r>
      <w:r w:rsidRPr="06910F8B" w:rsidR="6A5F4401">
        <w:rPr>
          <w:b w:val="1"/>
          <w:bCs w:val="1"/>
        </w:rPr>
        <w:t>Swin UNETR</w:t>
      </w:r>
      <w:r w:rsidR="6A5F4401">
        <w:rPr/>
        <w:t xml:space="preserve"> reemplaza ese codificador por una jerarquía Swin 3D y conserva un decodificador con conexiones de salto</w:t>
      </w:r>
      <w:r w:rsidR="1A05E1DF">
        <w:rPr/>
        <w:t>. F</w:t>
      </w:r>
      <w:r w:rsidR="6A5F4401">
        <w:rPr/>
        <w:t xml:space="preserve">ue presentado por Tang et al. (2022) dentro de un marco de preentrenamiento </w:t>
      </w:r>
      <w:r w:rsidR="6A5F4401">
        <w:rPr/>
        <w:t>autosupervisado</w:t>
      </w:r>
      <w:r w:rsidR="6A5F4401">
        <w:rPr/>
        <w:t>. La implementación utilizada en este TFM corresponde a la arquitectura disponible en MONAI y se entrena con el protocolo definido para el proyecto, sin atribuirle por ello los resultados del preentrenamiento del artículo original.</w:t>
      </w:r>
    </w:p>
    <w:p w:rsidR="00914FAA" w:rsidRDefault="000E7DA8" w14:paraId="130CFBB8" w14:textId="0642E9A3">
      <w:r w:rsidRPr="06910F8B" w:rsidR="6A5F4401">
        <w:rPr>
          <w:b w:val="1"/>
          <w:bCs w:val="1"/>
        </w:rPr>
        <w:t>TransBTS</w:t>
      </w:r>
      <w:r w:rsidR="6A5F4401">
        <w:rPr/>
        <w:t xml:space="preserve"> adopta otra solución híbrida</w:t>
      </w:r>
      <w:r w:rsidR="472D6226">
        <w:rPr/>
        <w:t>.</w:t>
      </w:r>
      <w:r w:rsidR="6A5F4401">
        <w:rPr/>
        <w:t xml:space="preserve"> </w:t>
      </w:r>
      <w:r w:rsidR="03140FB6">
        <w:rPr/>
        <w:t>U</w:t>
      </w:r>
      <w:r w:rsidR="6A5F4401">
        <w:rPr/>
        <w:t xml:space="preserve">na CNN extrae representaciones espaciales 3D y un </w:t>
      </w:r>
      <w:r w:rsidR="6A5F4401">
        <w:rPr/>
        <w:t>Transformer</w:t>
      </w:r>
      <w:r w:rsidR="6A5F4401">
        <w:rPr/>
        <w:t xml:space="preserve"> situado en la parte profunda modela relaciones globales antes de la decodificación (Wang et al., 2021). En paralelo, propuestas como UNETR++ buscan reducir el coste de la atención 3D mediante bloques más eficientes (Shaker et al., 2024). En conjunto, estas arquitecturas amplían el campo receptivo y la capacidad de modelar contexto, pero suelen exigir más parámetros, memoria o tiempo que una U-Net compacta. Por ello, CNN, modelos híbridos y Transformers puros deben compararse bajo datos, presupuesto y protocolo compatibles; la familia arquitectónica, por sí sola, no garantiza un resultado superior.</w:t>
      </w:r>
    </w:p>
    <w:p w:rsidR="06910F8B" w:rsidRDefault="06910F8B" w14:paraId="1C2F761D" w14:textId="31FE3D40"/>
    <w:p w:rsidR="00914FAA" w:rsidRDefault="000E7DA8" w14:paraId="74218B0C" w14:textId="77777777">
      <w:pPr>
        <w:pStyle w:val="Ttulo2"/>
      </w:pPr>
      <w:bookmarkStart w:name="_Toc1327819141" w:id="31"/>
      <w:bookmarkStart w:name="fusión-multimodal-en-mri" w:id="32"/>
      <w:bookmarkEnd w:id="28"/>
      <w:r>
        <w:t>2.4. Fusión multimodal en MRI</w:t>
      </w:r>
      <w:bookmarkEnd w:id="31"/>
    </w:p>
    <w:p w:rsidR="00914FAA" w:rsidRDefault="000E7DA8" w14:paraId="45E036F5" w14:textId="65B40415">
      <w:commentRangeStart w:id="14"/>
      <w:r w:rsidR="6A5F4401">
        <w:rPr/>
        <w:t xml:space="preserve">Las secuencias T1n, T1c, T2w y FLAIR observan el mismo volumen desde contrastes complementarios. La fusión multimodal especifica cómo se ponen en relación esas fuentes. Para ordenar sus variantes es necesario separar </w:t>
      </w:r>
      <w:r w:rsidR="6A5F4401">
        <w:rPr/>
        <w:t>dos ejes</w:t>
      </w:r>
      <w:r w:rsidR="2D820CD9">
        <w:rPr/>
        <w:t xml:space="preserve">, como </w:t>
      </w:r>
      <w:r w:rsidR="2D820CD9">
        <w:rPr/>
        <w:t xml:space="preserve">son, </w:t>
      </w:r>
      <w:r w:rsidR="6A5F4401">
        <w:rPr/>
        <w:t>la</w:t>
      </w:r>
      <w:r w:rsidR="6A5F4401">
        <w:rPr/>
        <w:t xml:space="preserve"> </w:t>
      </w:r>
      <w:r w:rsidRPr="06910F8B" w:rsidR="6A5F4401">
        <w:rPr>
          <w:b w:val="1"/>
          <w:bCs w:val="1"/>
        </w:rPr>
        <w:t>etapa de fusión</w:t>
      </w:r>
      <w:r w:rsidR="6A5F4401">
        <w:rPr/>
        <w:t xml:space="preserve">, es decir, el punto del flujo en el que se unen las modalidades, y la </w:t>
      </w:r>
      <w:r w:rsidRPr="06910F8B" w:rsidR="6A5F4401">
        <w:rPr>
          <w:b w:val="1"/>
          <w:bCs w:val="1"/>
        </w:rPr>
        <w:t>regla de combinación</w:t>
      </w:r>
      <w:r w:rsidR="6A5F4401">
        <w:rPr/>
        <w:t>, que define la operación concreta aplicada en ese punto. «Adaptativa» describe una regla dependiente de los datos, no una etapa por sí misma.</w:t>
      </w:r>
      <w:commentRangeEnd w:id="14"/>
      <w:r>
        <w:rPr>
          <w:rStyle w:val="CommentReference"/>
        </w:rPr>
        <w:commentReference w:id="14"/>
      </w:r>
    </w:p>
    <w:p w:rsidR="00914FAA" w:rsidP="06910F8B" w:rsidRDefault="000E7DA8" w14:paraId="45A9288D" w14:textId="33010763">
      <w:pPr>
        <w:pStyle w:val="Normal"/>
        <w:suppressLineNumbers w:val="0"/>
        <w:bidi w:val="0"/>
        <w:spacing w:before="0" w:beforeAutospacing="off" w:after="200" w:afterAutospacing="off" w:line="276" w:lineRule="auto"/>
        <w:ind w:left="0" w:right="0"/>
        <w:jc w:val="both"/>
      </w:pPr>
      <w:r w:rsidR="6A5F4401">
        <w:rPr/>
        <w:t xml:space="preserve">Según la etapa, se distinguen tres categorías principales. En la </w:t>
      </w:r>
      <w:r w:rsidRPr="06910F8B" w:rsidR="6A5F4401">
        <w:rPr>
          <w:b w:val="1"/>
          <w:bCs w:val="1"/>
        </w:rPr>
        <w:t>fusión temprana</w:t>
      </w:r>
      <w:r w:rsidR="6A5F4401">
        <w:rPr/>
        <w:t>, las modalidades se combinan antes del extractor o en sus primeras capas</w:t>
      </w:r>
      <w:r w:rsidR="7ADFD32E">
        <w:rPr/>
        <w:t>.</w:t>
      </w:r>
      <w:r w:rsidR="6A5F4401">
        <w:rPr/>
        <w:t xml:space="preserve"> </w:t>
      </w:r>
      <w:r w:rsidR="2A6AC421">
        <w:rPr/>
        <w:t>E</w:t>
      </w:r>
      <w:r w:rsidR="6A5F4401">
        <w:rPr/>
        <w:t xml:space="preserve">s eficiente y permite aprender interacciones desde el inicio, aunque normalmente presupone que todas las secuencias están disponibles y alineadas. En la </w:t>
      </w:r>
      <w:r w:rsidRPr="06910F8B" w:rsidR="6A5F4401">
        <w:rPr>
          <w:b w:val="1"/>
          <w:bCs w:val="1"/>
        </w:rPr>
        <w:t>fusión intermedia</w:t>
      </w:r>
      <w:r w:rsidR="6A5F4401">
        <w:rPr/>
        <w:t xml:space="preserve">, cada modalidad dispone de una rama propia —o de un procesamiento parcialmente separado— y las características se integran en uno o varios niveles. Esta opción puede preservar representaciones específicas de cada contraste, a cambio de mayor complejidad. En la </w:t>
      </w:r>
      <w:r w:rsidRPr="06910F8B" w:rsidR="6A5F4401">
        <w:rPr>
          <w:b w:val="1"/>
          <w:bCs w:val="1"/>
        </w:rPr>
        <w:t>fusión tardía</w:t>
      </w:r>
      <w:r w:rsidR="6A5F4401">
        <w:rPr/>
        <w:t>, cada modalidad genera predicciones que se combinan al final</w:t>
      </w:r>
      <w:r w:rsidR="354425EC">
        <w:rPr/>
        <w:t>. O</w:t>
      </w:r>
      <w:r w:rsidR="6A5F4401">
        <w:rPr/>
        <w:t>frece modularidad, pero replica gran parte del cálculo y retrasa las interacciones entre secuencias. Los diseños híbridos pueden emplear más de una etapa, como muestran propuestas que combinan fusión a nivel de imagen, características o contexto global (Liu et al., 2022; Wang et al., 2021; Zhou et al., 2022).</w:t>
      </w:r>
    </w:p>
    <w:p w:rsidR="00914FAA" w:rsidRDefault="000E7DA8" w14:paraId="05857102" w14:textId="4F7C8EDC">
      <w:commentRangeStart w:id="15"/>
      <w:r w:rsidR="6A5F4401">
        <w:rPr/>
        <w:t>A partir de estas definiciones, la Tabla 1 sintetiza las tres categorías. La columna de reglas incluye ejemplos posibles y no establece una correspondencia exclusiva</w:t>
      </w:r>
      <w:r w:rsidR="7B1242A2">
        <w:rPr/>
        <w:t>. U</w:t>
      </w:r>
      <w:r w:rsidR="6A5F4401">
        <w:rPr/>
        <w:t>na ponderación aprendida, por ejemplo, puede aplicarse tanto a la entrada como a características intermedias.</w:t>
      </w:r>
      <w:commentRangeEnd w:id="15"/>
      <w:r>
        <w:rPr>
          <w:rStyle w:val="CommentReference"/>
        </w:rPr>
        <w:commentReference w:id="15"/>
      </w:r>
    </w:p>
    <w:p w:rsidR="06910F8B" w:rsidRDefault="06910F8B" w14:paraId="2F08F082" w14:textId="26DCC80B"/>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700"/>
        <w:gridCol w:w="1701"/>
        <w:gridCol w:w="1701"/>
        <w:gridCol w:w="1701"/>
        <w:gridCol w:w="1701"/>
      </w:tblGrid>
      <w:tr w:rsidR="00914FAA" w:rsidTr="06910F8B" w14:paraId="2926AF54" w14:textId="77777777">
        <w:trPr>
          <w:cantSplit/>
          <w:tblHeader/>
          <w:jc w:val="center"/>
        </w:trPr>
        <w:tc>
          <w:tcPr>
            <w:tcW w:w="1701" w:type="dxa"/>
            <w:shd w:val="clear" w:color="auto" w:fill="ED7D31"/>
            <w:tcMar>
              <w:top w:w="70" w:type="dxa"/>
              <w:left w:w="70" w:type="dxa"/>
              <w:bottom w:w="70" w:type="dxa"/>
              <w:right w:w="70" w:type="dxa"/>
            </w:tcMar>
            <w:vAlign w:val="center"/>
          </w:tcPr>
          <w:p w:rsidR="00914FAA" w:rsidRDefault="000E7DA8" w14:paraId="6B4D0DA6" w14:textId="77777777">
            <w:pPr>
              <w:spacing w:after="0" w:line="240" w:lineRule="auto"/>
              <w:jc w:val="center"/>
            </w:pPr>
            <w:r>
              <w:rPr>
                <w:rFonts w:eastAsia="Arial"/>
                <w:b/>
                <w:color w:val="FFFFFF"/>
                <w:sz w:val="16"/>
              </w:rPr>
              <w:lastRenderedPageBreak/>
              <w:t>Etapa</w:t>
            </w:r>
          </w:p>
        </w:tc>
        <w:tc>
          <w:tcPr>
            <w:tcW w:w="1701" w:type="dxa"/>
            <w:shd w:val="clear" w:color="auto" w:fill="ED7D31"/>
            <w:tcMar>
              <w:top w:w="70" w:type="dxa"/>
              <w:left w:w="70" w:type="dxa"/>
              <w:bottom w:w="70" w:type="dxa"/>
              <w:right w:w="70" w:type="dxa"/>
            </w:tcMar>
            <w:vAlign w:val="center"/>
          </w:tcPr>
          <w:p w:rsidR="00914FAA" w:rsidRDefault="000E7DA8" w14:paraId="061194CA" w14:textId="77777777">
            <w:pPr>
              <w:spacing w:after="0" w:line="240" w:lineRule="auto"/>
              <w:jc w:val="center"/>
            </w:pPr>
            <w:r>
              <w:rPr>
                <w:rFonts w:eastAsia="Arial"/>
                <w:b/>
                <w:color w:val="FFFFFF"/>
                <w:sz w:val="16"/>
              </w:rPr>
              <w:t>Representación que se combina</w:t>
            </w:r>
          </w:p>
        </w:tc>
        <w:tc>
          <w:tcPr>
            <w:tcW w:w="1701" w:type="dxa"/>
            <w:shd w:val="clear" w:color="auto" w:fill="ED7D31"/>
            <w:tcMar>
              <w:top w:w="70" w:type="dxa"/>
              <w:left w:w="70" w:type="dxa"/>
              <w:bottom w:w="70" w:type="dxa"/>
              <w:right w:w="70" w:type="dxa"/>
            </w:tcMar>
            <w:vAlign w:val="center"/>
          </w:tcPr>
          <w:p w:rsidR="00914FAA" w:rsidRDefault="000E7DA8" w14:paraId="6B85CA0B" w14:textId="77777777">
            <w:pPr>
              <w:spacing w:after="0" w:line="240" w:lineRule="auto"/>
              <w:jc w:val="center"/>
            </w:pPr>
            <w:r>
              <w:rPr>
                <w:rFonts w:eastAsia="Arial"/>
                <w:b/>
                <w:color w:val="FFFFFF"/>
                <w:sz w:val="16"/>
              </w:rPr>
              <w:t>Reglas habituales</w:t>
            </w:r>
          </w:p>
        </w:tc>
        <w:tc>
          <w:tcPr>
            <w:tcW w:w="1701" w:type="dxa"/>
            <w:shd w:val="clear" w:color="auto" w:fill="ED7D31"/>
            <w:tcMar>
              <w:top w:w="70" w:type="dxa"/>
              <w:left w:w="70" w:type="dxa"/>
              <w:bottom w:w="70" w:type="dxa"/>
              <w:right w:w="70" w:type="dxa"/>
            </w:tcMar>
            <w:vAlign w:val="center"/>
          </w:tcPr>
          <w:p w:rsidR="00914FAA" w:rsidRDefault="000E7DA8" w14:paraId="06A4FED6" w14:textId="77777777">
            <w:pPr>
              <w:spacing w:after="0" w:line="240" w:lineRule="auto"/>
              <w:jc w:val="center"/>
            </w:pPr>
            <w:r>
              <w:rPr>
                <w:rFonts w:eastAsia="Arial"/>
                <w:b/>
                <w:color w:val="FFFFFF"/>
                <w:sz w:val="16"/>
              </w:rPr>
              <w:t>Ventajas</w:t>
            </w:r>
          </w:p>
        </w:tc>
        <w:tc>
          <w:tcPr>
            <w:tcW w:w="1701" w:type="dxa"/>
            <w:shd w:val="clear" w:color="auto" w:fill="ED7D31"/>
            <w:tcMar>
              <w:top w:w="70" w:type="dxa"/>
              <w:left w:w="70" w:type="dxa"/>
              <w:bottom w:w="70" w:type="dxa"/>
              <w:right w:w="70" w:type="dxa"/>
            </w:tcMar>
            <w:vAlign w:val="center"/>
          </w:tcPr>
          <w:p w:rsidR="00914FAA" w:rsidRDefault="000E7DA8" w14:paraId="02D10E85" w14:textId="77777777">
            <w:pPr>
              <w:spacing w:after="0" w:line="240" w:lineRule="auto"/>
              <w:jc w:val="center"/>
            </w:pPr>
            <w:r>
              <w:rPr>
                <w:rFonts w:eastAsia="Arial"/>
                <w:b/>
                <w:color w:val="FFFFFF"/>
                <w:sz w:val="16"/>
              </w:rPr>
              <w:t>Limitaciones</w:t>
            </w:r>
          </w:p>
        </w:tc>
      </w:tr>
      <w:tr w:rsidR="00914FAA" w:rsidTr="06910F8B" w14:paraId="05233FC6" w14:textId="77777777">
        <w:trPr>
          <w:cantSplit/>
          <w:jc w:val="center"/>
        </w:trPr>
        <w:tc>
          <w:tcPr>
            <w:tcW w:w="1701" w:type="dxa"/>
            <w:shd w:val="clear" w:color="auto" w:fill="FFFFFF" w:themeFill="background1"/>
            <w:tcMar>
              <w:top w:w="70" w:type="dxa"/>
              <w:left w:w="70" w:type="dxa"/>
              <w:bottom w:w="70" w:type="dxa"/>
              <w:right w:w="70" w:type="dxa"/>
            </w:tcMar>
            <w:vAlign w:val="center"/>
          </w:tcPr>
          <w:p w:rsidR="00914FAA" w:rsidP="06910F8B" w:rsidRDefault="000E7DA8" w14:paraId="4C20E709" w14:textId="77777777">
            <w:pPr>
              <w:spacing w:after="0" w:line="240" w:lineRule="auto"/>
              <w:jc w:val="left"/>
              <w:rPr>
                <w:rFonts w:eastAsia="Arial"/>
                <w:b w:val="1"/>
                <w:bCs w:val="1"/>
                <w:color w:val="000000" w:themeColor="text1" w:themeTint="FF" w:themeShade="FF"/>
                <w:sz w:val="20"/>
                <w:szCs w:val="20"/>
              </w:rPr>
            </w:pPr>
            <w:r w:rsidRPr="06910F8B" w:rsidR="6A5F4401">
              <w:rPr>
                <w:rFonts w:eastAsia="Arial"/>
                <w:b w:val="1"/>
                <w:bCs w:val="1"/>
                <w:color w:val="000000" w:themeColor="text1" w:themeTint="FF" w:themeShade="FF"/>
                <w:sz w:val="20"/>
                <w:szCs w:val="20"/>
              </w:rPr>
              <w:t>Temprana (</w:t>
            </w:r>
            <w:r w:rsidRPr="06910F8B" w:rsidR="6A5F4401">
              <w:rPr>
                <w:rFonts w:eastAsia="Arial"/>
                <w:b w:val="1"/>
                <w:bCs w:val="1"/>
                <w:i w:val="1"/>
                <w:iCs w:val="1"/>
                <w:color w:val="000000" w:themeColor="text1" w:themeTint="FF" w:themeShade="FF"/>
                <w:sz w:val="20"/>
                <w:szCs w:val="20"/>
              </w:rPr>
              <w:t>early fusion</w:t>
            </w:r>
            <w:r w:rsidRPr="06910F8B" w:rsidR="6A5F4401">
              <w:rPr>
                <w:rFonts w:eastAsia="Arial"/>
                <w:b w:val="1"/>
                <w:bCs w:val="1"/>
                <w:color w:val="000000" w:themeColor="text1" w:themeTint="FF" w:themeShade="FF"/>
                <w:sz w:val="20"/>
                <w:szCs w:val="20"/>
              </w:rPr>
              <w:t>)</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254C139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Imágenes o canales antes del codificador</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72997BF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Concatenación, suma o ponderación de modalidades</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0534F42B"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Integración sencilla; reutiliza un único extractor; coste adicional reducido</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5B87D5D5" w14:textId="10C94275">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Dependencia de modalidades presentes y registradas</w:t>
            </w:r>
            <w:r w:rsidRPr="06910F8B" w:rsidR="7970DD0D">
              <w:rPr>
                <w:rFonts w:eastAsia="Arial"/>
                <w:color w:val="000000" w:themeColor="text1" w:themeTint="FF" w:themeShade="FF"/>
                <w:sz w:val="20"/>
                <w:szCs w:val="20"/>
              </w:rPr>
              <w:t>. M</w:t>
            </w:r>
            <w:r w:rsidRPr="06910F8B" w:rsidR="6A5F4401">
              <w:rPr>
                <w:rFonts w:eastAsia="Arial"/>
                <w:color w:val="000000" w:themeColor="text1" w:themeTint="FF" w:themeShade="FF"/>
                <w:sz w:val="20"/>
                <w:szCs w:val="20"/>
              </w:rPr>
              <w:t>enor separación explícita de rasgos específicos</w:t>
            </w:r>
          </w:p>
        </w:tc>
      </w:tr>
      <w:tr w:rsidR="00914FAA" w:rsidTr="06910F8B" w14:paraId="290B3876" w14:textId="77777777">
        <w:trPr>
          <w:cantSplit/>
          <w:jc w:val="center"/>
        </w:trPr>
        <w:tc>
          <w:tcPr>
            <w:tcW w:w="1701" w:type="dxa"/>
            <w:shd w:val="clear" w:color="auto" w:fill="FCE4D6"/>
            <w:tcMar>
              <w:top w:w="70" w:type="dxa"/>
              <w:left w:w="70" w:type="dxa"/>
              <w:bottom w:w="70" w:type="dxa"/>
              <w:right w:w="70" w:type="dxa"/>
            </w:tcMar>
            <w:vAlign w:val="center"/>
          </w:tcPr>
          <w:p w:rsidR="00914FAA" w:rsidP="06910F8B" w:rsidRDefault="000E7DA8" w14:paraId="345237EB" w14:textId="77777777">
            <w:pPr>
              <w:spacing w:after="0" w:line="240" w:lineRule="auto"/>
              <w:jc w:val="left"/>
              <w:rPr>
                <w:rFonts w:eastAsia="Arial"/>
                <w:b w:val="1"/>
                <w:bCs w:val="1"/>
                <w:color w:val="000000" w:themeColor="text1" w:themeTint="FF" w:themeShade="FF"/>
                <w:sz w:val="20"/>
                <w:szCs w:val="20"/>
              </w:rPr>
            </w:pPr>
            <w:r w:rsidRPr="06910F8B" w:rsidR="6A5F4401">
              <w:rPr>
                <w:rFonts w:eastAsia="Arial"/>
                <w:b w:val="1"/>
                <w:bCs w:val="1"/>
                <w:color w:val="000000" w:themeColor="text1" w:themeTint="FF" w:themeShade="FF"/>
                <w:sz w:val="20"/>
                <w:szCs w:val="20"/>
              </w:rPr>
              <w:t>Intermedia (</w:t>
            </w:r>
            <w:r w:rsidRPr="06910F8B" w:rsidR="6A5F4401">
              <w:rPr>
                <w:rFonts w:eastAsia="Arial"/>
                <w:b w:val="1"/>
                <w:bCs w:val="1"/>
                <w:i w:val="1"/>
                <w:iCs w:val="1"/>
                <w:color w:val="000000" w:themeColor="text1" w:themeTint="FF" w:themeShade="FF"/>
                <w:sz w:val="20"/>
                <w:szCs w:val="20"/>
              </w:rPr>
              <w:t>feature-level fusion</w:t>
            </w:r>
            <w:r w:rsidRPr="06910F8B" w:rsidR="6A5F4401">
              <w:rPr>
                <w:rFonts w:eastAsia="Arial"/>
                <w:b w:val="1"/>
                <w:bCs w:val="1"/>
                <w:color w:val="000000" w:themeColor="text1" w:themeTint="FF" w:themeShade="FF"/>
                <w:sz w:val="20"/>
                <w:szCs w:val="20"/>
              </w:rPr>
              <w:t>)</w:t>
            </w:r>
          </w:p>
        </w:tc>
        <w:tc>
          <w:tcPr>
            <w:tcW w:w="1701" w:type="dxa"/>
            <w:shd w:val="clear" w:color="auto" w:fill="FCE4D6"/>
            <w:tcMar>
              <w:top w:w="70" w:type="dxa"/>
              <w:left w:w="70" w:type="dxa"/>
              <w:bottom w:w="70" w:type="dxa"/>
              <w:right w:w="70" w:type="dxa"/>
            </w:tcMar>
            <w:vAlign w:val="center"/>
          </w:tcPr>
          <w:p w:rsidR="00914FAA" w:rsidP="06910F8B" w:rsidRDefault="000E7DA8" w14:paraId="5137F38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Características de ramas específicas en uno o varios niveles</w:t>
            </w:r>
          </w:p>
        </w:tc>
        <w:tc>
          <w:tcPr>
            <w:tcW w:w="1701" w:type="dxa"/>
            <w:shd w:val="clear" w:color="auto" w:fill="FCE4D6"/>
            <w:tcMar>
              <w:top w:w="70" w:type="dxa"/>
              <w:left w:w="70" w:type="dxa"/>
              <w:bottom w:w="70" w:type="dxa"/>
              <w:right w:w="70" w:type="dxa"/>
            </w:tcMar>
            <w:vAlign w:val="center"/>
          </w:tcPr>
          <w:p w:rsidR="00914FAA" w:rsidP="06910F8B" w:rsidRDefault="000E7DA8" w14:paraId="6A878FD6"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Concatenación, suma, atención cruzada o compuertas</w:t>
            </w:r>
          </w:p>
        </w:tc>
        <w:tc>
          <w:tcPr>
            <w:tcW w:w="1701" w:type="dxa"/>
            <w:shd w:val="clear" w:color="auto" w:fill="FCE4D6"/>
            <w:tcMar>
              <w:top w:w="70" w:type="dxa"/>
              <w:left w:w="70" w:type="dxa"/>
              <w:bottom w:w="70" w:type="dxa"/>
              <w:right w:w="70" w:type="dxa"/>
            </w:tcMar>
            <w:vAlign w:val="center"/>
          </w:tcPr>
          <w:p w:rsidR="00914FAA" w:rsidP="06910F8B" w:rsidRDefault="000E7DA8" w14:paraId="6DA5EB3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Modela relaciones multiescala y conserva representaciones por modalidad</w:t>
            </w:r>
          </w:p>
        </w:tc>
        <w:tc>
          <w:tcPr>
            <w:tcW w:w="1701" w:type="dxa"/>
            <w:shd w:val="clear" w:color="auto" w:fill="FCE4D6"/>
            <w:tcMar>
              <w:top w:w="70" w:type="dxa"/>
              <w:left w:w="70" w:type="dxa"/>
              <w:bottom w:w="70" w:type="dxa"/>
              <w:right w:w="70" w:type="dxa"/>
            </w:tcMar>
            <w:vAlign w:val="center"/>
          </w:tcPr>
          <w:p w:rsidR="00914FAA" w:rsidP="06910F8B" w:rsidRDefault="000E7DA8" w14:paraId="113E95F3" w14:textId="6DEE8845">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Más parámetros y activaciones</w:t>
            </w:r>
            <w:r w:rsidRPr="06910F8B" w:rsidR="085705A9">
              <w:rPr>
                <w:rFonts w:eastAsia="Arial"/>
                <w:color w:val="000000" w:themeColor="text1" w:themeTint="FF" w:themeShade="FF"/>
                <w:sz w:val="20"/>
                <w:szCs w:val="20"/>
              </w:rPr>
              <w:t>.</w:t>
            </w:r>
            <w:r w:rsidRPr="06910F8B" w:rsidR="6A5F4401">
              <w:rPr>
                <w:rFonts w:eastAsia="Arial"/>
                <w:color w:val="000000" w:themeColor="text1" w:themeTint="FF" w:themeShade="FF"/>
                <w:sz w:val="20"/>
                <w:szCs w:val="20"/>
              </w:rPr>
              <w:t xml:space="preserve"> </w:t>
            </w:r>
            <w:r w:rsidRPr="06910F8B" w:rsidR="12B5A3D0">
              <w:rPr>
                <w:rFonts w:eastAsia="Arial"/>
                <w:color w:val="000000" w:themeColor="text1" w:themeTint="FF" w:themeShade="FF"/>
                <w:sz w:val="20"/>
                <w:szCs w:val="20"/>
              </w:rPr>
              <w:t>A</w:t>
            </w:r>
            <w:r w:rsidRPr="06910F8B" w:rsidR="6A5F4401">
              <w:rPr>
                <w:rFonts w:eastAsia="Arial"/>
                <w:color w:val="000000" w:themeColor="text1" w:themeTint="FF" w:themeShade="FF"/>
                <w:sz w:val="20"/>
                <w:szCs w:val="20"/>
              </w:rPr>
              <w:t>umenta la complejidad de entrenamiento e integración</w:t>
            </w:r>
          </w:p>
        </w:tc>
      </w:tr>
      <w:tr w:rsidR="00914FAA" w:rsidTr="06910F8B" w14:paraId="545EEC1E" w14:textId="77777777">
        <w:trPr>
          <w:cantSplit/>
          <w:jc w:val="center"/>
        </w:trPr>
        <w:tc>
          <w:tcPr>
            <w:tcW w:w="1701" w:type="dxa"/>
            <w:shd w:val="clear" w:color="auto" w:fill="FFFFFF" w:themeFill="background1"/>
            <w:tcMar>
              <w:top w:w="70" w:type="dxa"/>
              <w:left w:w="70" w:type="dxa"/>
              <w:bottom w:w="70" w:type="dxa"/>
              <w:right w:w="70" w:type="dxa"/>
            </w:tcMar>
            <w:vAlign w:val="center"/>
          </w:tcPr>
          <w:p w:rsidR="00914FAA" w:rsidP="06910F8B" w:rsidRDefault="000E7DA8" w14:paraId="2E81CEA6" w14:textId="77777777">
            <w:pPr>
              <w:keepNext w:val="1"/>
              <w:spacing w:after="0" w:line="240" w:lineRule="auto"/>
              <w:jc w:val="left"/>
              <w:rPr>
                <w:rFonts w:eastAsia="Arial"/>
                <w:b w:val="1"/>
                <w:bCs w:val="1"/>
                <w:color w:val="000000" w:themeColor="text1" w:themeTint="FF" w:themeShade="FF"/>
                <w:sz w:val="20"/>
                <w:szCs w:val="20"/>
              </w:rPr>
            </w:pPr>
            <w:r w:rsidRPr="06910F8B" w:rsidR="6A5F4401">
              <w:rPr>
                <w:rFonts w:eastAsia="Arial"/>
                <w:b w:val="1"/>
                <w:bCs w:val="1"/>
                <w:color w:val="000000" w:themeColor="text1" w:themeTint="FF" w:themeShade="FF"/>
                <w:sz w:val="20"/>
                <w:szCs w:val="20"/>
              </w:rPr>
              <w:t>Tardía (</w:t>
            </w:r>
            <w:r w:rsidRPr="06910F8B" w:rsidR="6A5F4401">
              <w:rPr>
                <w:rFonts w:eastAsia="Arial"/>
                <w:b w:val="1"/>
                <w:bCs w:val="1"/>
                <w:i w:val="1"/>
                <w:iCs w:val="1"/>
                <w:color w:val="000000" w:themeColor="text1" w:themeTint="FF" w:themeShade="FF"/>
                <w:sz w:val="20"/>
                <w:szCs w:val="20"/>
              </w:rPr>
              <w:t>decision-level fusion</w:t>
            </w:r>
            <w:r w:rsidRPr="06910F8B" w:rsidR="6A5F4401">
              <w:rPr>
                <w:rFonts w:eastAsia="Arial"/>
                <w:b w:val="1"/>
                <w:bCs w:val="1"/>
                <w:color w:val="000000" w:themeColor="text1" w:themeTint="FF" w:themeShade="FF"/>
                <w:sz w:val="20"/>
                <w:szCs w:val="20"/>
              </w:rPr>
              <w:t>)</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44E19098"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Mapas de probabilidad o decisiones de modelos separados</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1C74EC57"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Media, voto, producto o ensamblado aprendido</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4C9B8645"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Modularidad y posibilidad de especialización por modalidad</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057AD58B" w14:textId="5D4E55C3">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Duplica cálculo</w:t>
            </w:r>
            <w:r w:rsidRPr="06910F8B" w:rsidR="4C8E610E">
              <w:rPr>
                <w:rFonts w:eastAsia="Arial"/>
                <w:color w:val="000000" w:themeColor="text1" w:themeTint="FF" w:themeShade="FF"/>
                <w:sz w:val="20"/>
                <w:szCs w:val="20"/>
              </w:rPr>
              <w:t>. L</w:t>
            </w:r>
            <w:r w:rsidRPr="06910F8B" w:rsidR="6A5F4401">
              <w:rPr>
                <w:rFonts w:eastAsia="Arial"/>
                <w:color w:val="000000" w:themeColor="text1" w:themeTint="FF" w:themeShade="FF"/>
                <w:sz w:val="20"/>
                <w:szCs w:val="20"/>
              </w:rPr>
              <w:t>as modalidades no interactúan durante la extracción temprana de rasgos</w:t>
            </w:r>
          </w:p>
        </w:tc>
      </w:tr>
    </w:tbl>
    <w:p w:rsidR="00914FAA" w:rsidRDefault="000E7DA8" w14:paraId="589524B2" w14:textId="77777777">
      <w:pPr>
        <w:pStyle w:val="Descripcin"/>
        <w:keepLines w:val="1"/>
      </w:pPr>
      <w:bookmarkStart w:name="_Toc235507359" w:id="33"/>
      <w:r w:rsidRPr="06910F8B" w:rsidR="6A5F4401">
        <w:rPr>
          <w:b w:val="1"/>
          <w:bCs w:val="1"/>
        </w:rPr>
        <w:t xml:space="preserve">Tabla </w:t>
      </w:r>
      <w:r>
        <w:fldChar w:fldCharType="begin"/>
      </w:r>
      <w:r>
        <w:instrText xml:space="preserve"> SEQ Tabla \* ARABIC </w:instrText>
      </w:r>
      <w:r>
        <w:fldChar w:fldCharType="separate"/>
      </w:r>
      <w:r w:rsidRPr="06910F8B" w:rsidR="6A5F4401">
        <w:rPr>
          <w:b w:val="1"/>
          <w:bCs w:val="1"/>
        </w:rPr>
        <w:t>1</w:t>
      </w:r>
      <w:r>
        <w:fldChar w:fldCharType="end"/>
      </w:r>
      <w:r w:rsidRPr="06910F8B" w:rsidR="6A5F4401">
        <w:rPr>
          <w:b w:val="1"/>
          <w:bCs w:val="1"/>
        </w:rPr>
        <w:t xml:space="preserve">. </w:t>
      </w:r>
      <w:r w:rsidR="6A5F4401">
        <w:rPr/>
        <w:t>Etapas de fusión multimodal en segmentación de imagen médica.</w:t>
      </w:r>
      <w:bookmarkEnd w:id="33"/>
    </w:p>
    <w:p w:rsidR="06910F8B" w:rsidP="06910F8B" w:rsidRDefault="06910F8B" w14:paraId="2B5EEA13" w14:textId="2C19048D">
      <w:pPr>
        <w:pStyle w:val="Normal"/>
        <w:keepLines w:val="1"/>
      </w:pPr>
    </w:p>
    <w:p w:rsidR="00914FAA" w:rsidRDefault="000E7DA8" w14:paraId="6CADACC8" w14:textId="3F91388C">
      <w:r w:rsidR="6A5F4401">
        <w:rPr/>
        <w:t>La comparación muestra que la etapa no determina por sí sola el grado de adaptación.</w:t>
      </w:r>
      <w:r w:rsidR="6A5F4401">
        <w:rPr/>
        <w:t xml:space="preserve"> La fusión temprana puede ser una concatenación sin pesos explícitos o una ponderación condicionada por la entrada</w:t>
      </w:r>
      <w:r w:rsidR="6C1439FB">
        <w:rPr/>
        <w:t>.</w:t>
      </w:r>
      <w:r w:rsidR="6A5F4401">
        <w:rPr/>
        <w:t xml:space="preserve"> </w:t>
      </w:r>
      <w:r w:rsidR="10627B33">
        <w:rPr/>
        <w:t>D</w:t>
      </w:r>
      <w:r w:rsidR="6A5F4401">
        <w:rPr/>
        <w:t>e igual modo, una fusión intermedia puede usar coeficientes fijos. La decisión relevante depende del equilibrio buscado entre interacción multimodal, coste y facilidad para aislar el efecto experimental.</w:t>
      </w:r>
    </w:p>
    <w:p w:rsidR="06910F8B" w:rsidRDefault="06910F8B" w14:paraId="783081BB" w14:textId="5891E9AE"/>
    <w:p w:rsidR="00914FAA" w:rsidRDefault="000E7DA8" w14:paraId="5DCA78FA" w14:textId="77777777">
      <w:pPr>
        <w:pStyle w:val="Ttulo3"/>
      </w:pPr>
      <w:bookmarkStart w:name="_Toc1762843157" w:id="34"/>
      <w:bookmarkStart w:name="reglas-de-combinación-temprana" w:id="35"/>
      <w:r>
        <w:t>2.4.1. Reglas de combinación temprana</w:t>
      </w:r>
      <w:bookmarkEnd w:id="34"/>
    </w:p>
    <w:p w:rsidR="00914FAA" w:rsidRDefault="000E7DA8" w14:paraId="3B9006A2" w14:textId="4F27B6D1">
      <w:r w:rsidR="6A5F4401">
        <w:rPr/>
        <w:t xml:space="preserve">Sean </w:t>
      </w:r>
      <m:oMath xmlns:m="http://schemas.openxmlformats.org/officeDocument/2006/math">
        <m:sSub xmlns:m="http://schemas.openxmlformats.org/officeDocument/2006/math">
          <m:sSubPr>
            <m:ctrlPr>
              <w:rPr xmlns:w="http://schemas.openxmlformats.org/wordprocessingml/2006/main">
                <w:rFonts w:ascii="Cambria Math" w:hAnsi="Cambria Math"/>
              </w:rPr>
            </m:ctrlPr>
          </m:sSubPr>
          <m:e>
            <m:r>
              <m:rPr>
                <m:sty m:val="bi"/>
              </m:rPr>
              <w:rPr xmlns:w="http://schemas.openxmlformats.org/wordprocessingml/2006/main">
                <w:rFonts w:ascii="Cambria Math" w:hAnsi="Cambria Math"/>
              </w:rPr>
              <m:t>x</m:t>
            </m:r>
          </m:e>
          <m:sub>
            <m:r>
              <w:rPr xmlns:w="http://schemas.openxmlformats.org/wordprocessingml/2006/main">
                <w:rFonts w:ascii="Cambria Math" w:hAnsi="Cambria Math"/>
              </w:rPr>
              <m:t>1</m:t>
            </m:r>
          </m:sub>
        </m:sSub>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sSub xmlns:m="http://schemas.openxmlformats.org/officeDocument/2006/math">
          <m:sSubPr>
            <m:ctrlPr>
              <w:rPr xmlns:w="http://schemas.openxmlformats.org/wordprocessingml/2006/main">
                <w:rFonts w:ascii="Cambria Math" w:hAnsi="Cambria Math"/>
              </w:rPr>
            </m:ctrlPr>
          </m:sSubPr>
          <m:e>
            <m:r>
              <m:rPr>
                <m:sty m:val="bi"/>
              </m:rPr>
              <w:rPr xmlns:w="http://schemas.openxmlformats.org/wordprocessingml/2006/main">
                <w:rFonts w:ascii="Cambria Math" w:hAnsi="Cambria Math"/>
              </w:rPr>
              <m:t>x</m:t>
            </m:r>
          </m:e>
          <m:sub>
            <m:r>
              <w:rPr xmlns:w="http://schemas.openxmlformats.org/wordprocessingml/2006/main">
                <w:rFonts w:ascii="Cambria Math" w:hAnsi="Cambria Math"/>
              </w:rPr>
              <m:t>M</m:t>
            </m:r>
          </m:sub>
        </m:sSub>
      </m:oMath>
      <w:r w:rsidR="6A5F4401">
        <w:rPr/>
        <w:t xml:space="preserve"> </w:t>
      </w:r>
      <w:r w:rsidR="3E5E6B96">
        <w:rPr/>
        <w:t xml:space="preserve">                </w:t>
      </w:r>
      <w:r w:rsidR="6A5F4401">
        <w:rPr/>
        <w:t xml:space="preserve">las modalidades registradas de una muestra. La </w:t>
      </w:r>
      <w:r w:rsidRPr="06910F8B" w:rsidR="6A5F4401">
        <w:rPr>
          <w:b w:val="1"/>
          <w:bCs w:val="1"/>
        </w:rPr>
        <w:t>concatenación</w:t>
      </w:r>
      <w:r w:rsidR="6A5F4401">
        <w:rPr/>
        <w:t xml:space="preserve"> forma </w:t>
      </w:r>
      <m:oMath xmlns:m="http://schemas.openxmlformats.org/officeDocument/2006/math">
        <m:r xmlns:m="http://schemas.openxmlformats.org/officeDocument/2006/math">
          <m:rPr xmlns:m="http://schemas.openxmlformats.org/officeDocument/2006/math">
            <m:sty m:val="bi"/>
          </m:rPr>
          <w:rPr xmlns:w="http://schemas.openxmlformats.org/wordprocessingml/2006/main">
            <w:rFonts w:ascii="Cambria Math" w:hAnsi="Cambria Math"/>
          </w:rPr>
          <m:t xmlns:m="http://schemas.openxmlformats.org/officeDocument/2006/math">x</m:t>
        </m:r>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sSub xmlns:m="http://schemas.openxmlformats.org/officeDocument/2006/math">
          <m:sSubPr>
            <m:ctrlPr>
              <w:rPr xmlns:w="http://schemas.openxmlformats.org/wordprocessingml/2006/main">
                <w:rFonts w:ascii="Cambria Math" w:hAnsi="Cambria Math"/>
              </w:rPr>
            </m:ctrlPr>
          </m:sSubPr>
          <m:e>
            <m:r>
              <m:rPr>
                <m:sty m:val="bi"/>
              </m:rPr>
              <w:rPr xmlns:w="http://schemas.openxmlformats.org/wordprocessingml/2006/main">
                <w:rFonts w:ascii="Cambria Math" w:hAnsi="Cambria Math"/>
              </w:rPr>
              <m:t>x</m:t>
            </m:r>
          </m:e>
          <m:sub>
            <m:r>
              <w:rPr xmlns:w="http://schemas.openxmlformats.org/wordprocessingml/2006/main">
                <w:rFonts w:ascii="Cambria Math" w:hAnsi="Cambria Math"/>
              </w:rPr>
              <m:t>1</m:t>
            </m:r>
          </m:sub>
        </m:sSub>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sSub xmlns:m="http://schemas.openxmlformats.org/officeDocument/2006/math">
          <m:sSubPr>
            <m:ctrlPr>
              <w:rPr xmlns:w="http://schemas.openxmlformats.org/wordprocessingml/2006/main">
                <w:rFonts w:ascii="Cambria Math" w:hAnsi="Cambria Math"/>
              </w:rPr>
            </m:ctrlPr>
          </m:sSubPr>
          <m:e>
            <m:r>
              <m:rPr>
                <m:sty m:val="bi"/>
              </m:rPr>
              <w:rPr xmlns:w="http://schemas.openxmlformats.org/wordprocessingml/2006/main">
                <w:rFonts w:ascii="Cambria Math" w:hAnsi="Cambria Math"/>
              </w:rPr>
              <m:t>x</m:t>
            </m:r>
          </m:e>
          <m:sub>
            <m:r>
              <w:rPr xmlns:w="http://schemas.openxmlformats.org/wordprocessingml/2006/main">
                <w:rFonts w:ascii="Cambria Math" w:hAnsi="Cambria Math"/>
              </w:rPr>
              <m:t>M</m:t>
            </m:r>
          </m:sub>
        </m:sSub>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oMath>
      <w:r w:rsidR="4A60BB39">
        <w:rPr/>
        <w:t xml:space="preserve">                     </w:t>
      </w:r>
      <w:r w:rsidR="6A5F4401">
        <w:rPr/>
        <w:t xml:space="preserve"> y deja que la primera capa aprenda filtros diferentes para cada canal. No realiza una media ni impone matemáticamente el mismo peso a todas las modalidades</w:t>
      </w:r>
      <w:r w:rsidR="20D87957">
        <w:rPr/>
        <w:t>. S</w:t>
      </w:r>
      <w:r w:rsidR="6A5F4401">
        <w:rPr/>
        <w:t>u rasgo distintivo es que carece de un parámetro separado e interpretable que reajuste de forma explícita su contribución.</w:t>
      </w:r>
    </w:p>
    <w:p w:rsidR="00914FAA" w:rsidRDefault="000E7DA8" w14:paraId="1F5B3957" w14:textId="32B937F0">
      <w:r w:rsidR="6A5F4401">
        <w:rPr/>
        <w:t xml:space="preserve">Una </w:t>
      </w:r>
      <w:r w:rsidRPr="06910F8B" w:rsidR="6A5F4401">
        <w:rPr>
          <w:b w:val="1"/>
          <w:bCs w:val="1"/>
        </w:rPr>
        <w:t>ponderación global estática</w:t>
      </w:r>
      <w:r w:rsidR="6A5F4401">
        <w:rPr/>
        <w:t xml:space="preserve"> aprende un vector de parámetros compartido por todas las muestras. Si </w:t>
      </w:r>
      <m:oMath xmlns:m="http://schemas.openxmlformats.org/officeDocument/2006/math">
        <m:r xmlns:m="http://schemas.openxmlformats.org/officeDocument/2006/math">
          <m:rPr xmlns:m="http://schemas.openxmlformats.org/officeDocument/2006/math">
            <m:sty m:val="bi"/>
          </m:rPr>
          <w:rPr xmlns:w="http://schemas.openxmlformats.org/wordprocessingml/2006/main">
            <w:rFonts w:ascii="Cambria Math" w:hAnsi="Cambria Math"/>
          </w:rPr>
          <m:t xmlns:m="http://schemas.openxmlformats.org/officeDocument/2006/math">α</m:t>
        </m:r>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=softmax(</m:t>
        </m:r>
        <m:r xmlns:m="http://schemas.openxmlformats.org/officeDocument/2006/math">
          <m:rPr xmlns:m="http://schemas.openxmlformats.org/officeDocument/2006/math">
            <m:sty m:val="bi"/>
          </m:rPr>
          <w:rPr xmlns:w="http://schemas.openxmlformats.org/wordprocessingml/2006/main">
            <w:rFonts w:ascii="Cambria Math" w:hAnsi="Cambria Math"/>
          </w:rPr>
          <m:t xmlns:m="http://schemas.openxmlformats.org/officeDocument/2006/math">θ</m:t>
        </m:r>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oMath>
      <w:r w:rsidR="595AAD0A">
        <w:rPr/>
        <w:t xml:space="preserve">                       </w:t>
      </w:r>
      <w:r w:rsidR="6A5F4401">
        <w:rPr/>
        <w:t xml:space="preserve">, cada canal puede </w:t>
      </w:r>
      <w:r w:rsidR="6A5F4401">
        <w:rPr/>
        <w:t>reescalarse</w:t>
      </w:r>
      <w:r w:rsidR="6A5F4401">
        <w:rPr/>
        <w:t xml:space="preserve"> como</w:t>
      </w:r>
    </w:p>
    <w:p w:rsidR="00914FAA" w:rsidP="06910F8B" w:rsidRDefault="001A094A" w14:paraId="09B372D6" w14:textId="3E46D301">
      <w:pPr>
        <w:jc w:val="center"/>
      </w:pPr>
      <w:r w:rsidR="07627292">
        <w:rPr/>
        <w:t xml:space="preserve">                        </w:t>
      </w:r>
    </w:p>
    <w:p w:rsidR="00914FAA" w:rsidRDefault="000E7DA8" w14:paraId="44492002" w14:textId="0392D770">
      <w:r w:rsidR="6A5F4401">
        <w:rPr/>
        <w:t xml:space="preserve">El factor </w:t>
      </w:r>
      <m:oMath xmlns:m="http://schemas.openxmlformats.org/officeDocument/2006/math">
        <m:r xmlns:m="http://schemas.openxmlformats.org/officeDocument/2006/math">
          <w:rPr xmlns:w="http://schemas.openxmlformats.org/wordprocessingml/2006/main">
            <w:rFonts w:ascii="Cambria Math" w:hAnsi="Cambria Math"/>
          </w:rPr>
          <m:t xmlns:m="http://schemas.openxmlformats.org/officeDocument/2006/math">M</m:t>
        </m:r>
      </m:oMath>
      <w:r w:rsidR="6A5F4401">
        <w:rPr/>
        <w:t xml:space="preserve"> </w:t>
      </w:r>
      <w:r w:rsidR="72C3BA29">
        <w:rPr/>
        <w:t xml:space="preserve"> </w:t>
      </w:r>
      <w:r w:rsidR="6A5F4401">
        <w:rPr/>
        <w:t>conserva la escala de la identidad cuando los pesos se inicializan uniformemente. Esta regla puede descubrir una jerarquía promedio entre secuencias, pero aplica la misma jerarquía a todos los casos.</w:t>
      </w:r>
    </w:p>
    <w:p w:rsidR="00914FAA" w:rsidRDefault="000E7DA8" w14:paraId="445DC345" w14:textId="071517D7">
      <w:r w:rsidR="6A5F4401">
        <w:rPr/>
        <w:t xml:space="preserve">Una </w:t>
      </w:r>
      <w:r w:rsidRPr="06910F8B" w:rsidR="6A5F4401">
        <w:rPr>
          <w:b w:val="1"/>
          <w:bCs w:val="1"/>
        </w:rPr>
        <w:t>ponderación condicionada por la entrada</w:t>
      </w:r>
      <w:r w:rsidR="6A5F4401">
        <w:rPr/>
        <w:t xml:space="preserve"> calcula </w:t>
      </w:r>
      <m:oMath xmlns:m="http://schemas.openxmlformats.org/officeDocument/2006/math">
        <m:r xmlns:m="http://schemas.openxmlformats.org/officeDocument/2006/math">
          <m:rPr xmlns:m="http://schemas.openxmlformats.org/officeDocument/2006/math">
            <m:sty m:val="bi"/>
          </m:rPr>
          <w:rPr xmlns:w="http://schemas.openxmlformats.org/wordprocessingml/2006/main">
            <w:rFonts w:ascii="Cambria Math" w:hAnsi="Cambria Math"/>
          </w:rPr>
          <m:t xmlns:m="http://schemas.openxmlformats.org/officeDocument/2006/math">α</m:t>
        </m:r>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r xmlns:m="http://schemas.openxmlformats.org/officeDocument/2006/math">
          <m:rPr xmlns:m="http://schemas.openxmlformats.org/officeDocument/2006/math">
            <m:sty m:val="bi"/>
          </m:rPr>
          <w:rPr xmlns:w="http://schemas.openxmlformats.org/wordprocessingml/2006/main">
            <w:rFonts w:ascii="Cambria Math" w:hAnsi="Cambria Math"/>
          </w:rPr>
          <m:t xmlns:m="http://schemas.openxmlformats.org/officeDocument/2006/math">x</m:t>
        </m:r>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)=softmax(</m:t>
        </m:r>
        <m:r xmlns:m="http://schemas.openxmlformats.org/officeDocument/2006/math">
          <w:rPr xmlns:w="http://schemas.openxmlformats.org/wordprocessingml/2006/main">
            <w:rFonts w:ascii="Cambria Math" w:hAnsi="Cambria Math"/>
          </w:rPr>
          <m:t xmlns:m="http://schemas.openxmlformats.org/officeDocument/2006/math">g</m:t>
        </m:r>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r xmlns:m="http://schemas.openxmlformats.org/officeDocument/2006/math">
          <w:rPr xmlns:w="http://schemas.openxmlformats.org/wordprocessingml/2006/main">
            <w:rFonts w:ascii="Cambria Math" w:hAnsi="Cambria Math"/>
          </w:rPr>
          <m:t xmlns:m="http://schemas.openxmlformats.org/officeDocument/2006/math">ϕ</m:t>
        </m:r>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r xmlns:m="http://schemas.openxmlformats.org/officeDocument/2006/math">
          <m:rPr xmlns:m="http://schemas.openxmlformats.org/officeDocument/2006/math">
            <m:sty m:val="bi"/>
          </m:rPr>
          <w:rPr xmlns:w="http://schemas.openxmlformats.org/wordprocessingml/2006/main">
            <w:rFonts w:ascii="Cambria Math" w:hAnsi="Cambria Math"/>
          </w:rPr>
          <m:t xmlns:m="http://schemas.openxmlformats.org/officeDocument/2006/math">x</m:t>
        </m:r>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oMath>
      <w:r w:rsidR="2641250F">
        <w:rPr/>
        <w:t xml:space="preserve">                                    </w:t>
      </w:r>
      <w:r w:rsidR="6A5F4401">
        <w:rPr/>
        <w:t xml:space="preserve">, donde </w:t>
      </w:r>
      <m:oMath xmlns:m="http://schemas.openxmlformats.org/officeDocument/2006/math">
        <m:r xmlns:m="http://schemas.openxmlformats.org/officeDocument/2006/math">
          <w:rPr xmlns:w="http://schemas.openxmlformats.org/wordprocessingml/2006/main">
            <w:rFonts w:ascii="Cambria Math" w:hAnsi="Cambria Math"/>
          </w:rPr>
          <m:t xmlns:m="http://schemas.openxmlformats.org/officeDocument/2006/math">ϕ</m:t>
        </m:r>
      </m:oMath>
      <w:r w:rsidR="6A5F4401">
        <w:rPr/>
        <w:t xml:space="preserve"> </w:t>
      </w:r>
      <w:r w:rsidR="0382C36E">
        <w:rPr/>
        <w:t xml:space="preserve"> </w:t>
      </w:r>
      <w:r w:rsidR="6A5F4401">
        <w:rPr/>
        <w:t xml:space="preserve">resume cada modalidad y </w:t>
      </w:r>
      <m:oMath xmlns:m="http://schemas.openxmlformats.org/officeDocument/2006/math">
        <m:r xmlns:m="http://schemas.openxmlformats.org/officeDocument/2006/math">
          <w:rPr xmlns:w="http://schemas.openxmlformats.org/wordprocessingml/2006/main">
            <w:rFonts w:ascii="Cambria Math" w:hAnsi="Cambria Math"/>
          </w:rPr>
          <m:t xmlns:m="http://schemas.openxmlformats.org/officeDocument/2006/math">g</m:t>
        </m:r>
      </m:oMath>
      <w:r w:rsidR="6A5F4401">
        <w:rPr/>
        <w:t xml:space="preserve"> </w:t>
      </w:r>
      <w:r w:rsidR="0488626F">
        <w:rPr/>
        <w:t xml:space="preserve"> </w:t>
      </w:r>
      <w:r w:rsidR="6A5F4401">
        <w:rPr/>
        <w:t>genera sus coeficientes. En este TFM, los descriptores son estadísticas globales de intensidad y se obtiene un peso por modalidad y muestra. Los pesos se aplican antes del codificador y son constantes en las tres dimensiones espaciales dentro de cada entrada procesada. Por tanto, la propuesta es adaptativa respecto del caso, pero no constituye atención espacial, atención por vóxel ni atención específica de ET, TC o WT.</w:t>
      </w:r>
    </w:p>
    <w:p w:rsidR="06910F8B" w:rsidRDefault="06910F8B" w14:paraId="474DBB5A" w14:textId="3F21D751"/>
    <w:p w:rsidR="00914FAA" w:rsidRDefault="000E7DA8" w14:paraId="5C190009" w14:textId="77777777">
      <w:pPr>
        <w:pStyle w:val="Ttulo3"/>
      </w:pPr>
      <w:bookmarkStart w:name="_Toc250447980" w:id="36"/>
      <w:bookmarkStart w:name="X3c816e0122024d37d6e7062e532bf9f0b81464c" w:id="37"/>
      <w:bookmarkEnd w:id="30"/>
      <w:r>
        <w:lastRenderedPageBreak/>
        <w:t>2.4.2. Evolución del estado del arte y brecha estudiada</w:t>
      </w:r>
      <w:bookmarkEnd w:id="36"/>
    </w:p>
    <w:p w:rsidR="00914FAA" w:rsidRDefault="000E7DA8" w14:paraId="46234E88" w14:textId="77777777">
      <w:r>
        <w:t>Los primeros sistemas profundos para tumor cerebral ya mostraron el valor de combinar escalas y modalidades. Havaei et al. (2017) utilizaron caminos convolucionales con distinto contexto para segmentar gliomas, y DeepMedic integró dos trayectorias 3D multiescala y un campo aleatorio condicional para refinar lesiones cerebrales (Kamnitsas et al., 2017). Más adelante, la solución de Myronenko (2019) combinó una red encoder-decoder 3D con regularización mediante autoencoder y puso de manifiesto que las CNN volumétricas cuidadosamente entrenadas seguían siendo referencias muy competitivas.</w:t>
      </w:r>
    </w:p>
    <w:p w:rsidR="00914FAA" w:rsidRDefault="000E7DA8" w14:paraId="53889B82" w14:textId="77777777">
      <w:r>
        <w:t>La investigación posterior ha trasladado la fusión a representaciones más ricas. Liu et al. (2022) combinaron información a nivel de imagen y de características; Zhou et al. (2022) propusieron una red de tri-atención que relaciona relevancia modal, distribución espacial y correlaciones entre características. Otro frente aborda modalidades ausentes, para evitar que un sistema entrenado con cuatro secuencias falle cuando alguna no está disponible (Ruffle et al., 2023). TransBTS representa, a su vez, la integración del contexto multimodal dentro de una arquitectura híbrida CNN-Transformer (Wang et al., 2021).</w:t>
      </w:r>
    </w:p>
    <w:p w:rsidR="00914FAA" w:rsidRDefault="000E7DA8" w14:paraId="3AC2BDD7" w14:textId="2D47B008">
      <w:commentRangeStart w:id="16"/>
      <w:r w:rsidR="6A5F4401">
        <w:rPr/>
        <w:t>Estos trabajos demuestran que la fusión puede realizarse en múltiples niveles, pero también introducen simultáneamente ramas, mecanismos de atención o codificadores diferentes. En esas condiciones resulta difícil atribuir una mejora exclusivamente a la ponderación de modalidades. La brecha que aborda este TFM es deliberadamente más acotada</w:t>
      </w:r>
      <w:r w:rsidR="537CB7B8">
        <w:rPr/>
        <w:t xml:space="preserve"> y consiste en</w:t>
      </w:r>
      <w:r w:rsidR="6A5F4401">
        <w:rPr/>
        <w:t xml:space="preserve"> aportar evidencia controlada sobre si una regla temprana, global por muestra y de muy pocos parámetros supera a la concatenación y a una ponderación estática cuando la Residual U-Net 3D, los datos y el entrenamiento se mantienen fijos. El objetivo no es reivindicar una nueva familia general de fusión ni resolver el </w:t>
      </w:r>
      <w:r w:rsidR="6A5F4401">
        <w:rPr/>
        <w:t>escenario de modalidades ausentes, sino medir de forma reproducible el valor añadido de esa decisión concreta.</w:t>
      </w:r>
      <w:commentRangeEnd w:id="16"/>
      <w:r>
        <w:rPr>
          <w:rStyle w:val="CommentReference"/>
        </w:rPr>
        <w:commentReference w:id="16"/>
      </w:r>
    </w:p>
    <w:p w:rsidR="06910F8B" w:rsidRDefault="06910F8B" w14:paraId="496D5CE4" w14:textId="22BCAFF4"/>
    <w:p w:rsidR="00914FAA" w:rsidRDefault="000E7DA8" w14:paraId="5BF9C55C" w14:textId="77777777">
      <w:pPr>
        <w:pStyle w:val="Ttulo2"/>
      </w:pPr>
      <w:bookmarkStart w:name="_Toc1380924209" w:id="38"/>
      <w:bookmarkStart w:name="Xbf10a66230d7a8ef88a77b94a28aa0b9d0137d8" w:id="39"/>
      <w:bookmarkEnd w:id="32"/>
      <w:bookmarkEnd w:id="35"/>
      <w:r w:rsidR="6A5F4401">
        <w:rPr/>
        <w:t>2.5. BraTS-GLI 2024 y evaluación de la segmentación</w:t>
      </w:r>
      <w:bookmarkEnd w:id="38"/>
    </w:p>
    <w:p w:rsidR="31D52A1B" w:rsidP="06910F8B" w:rsidRDefault="31D52A1B" w14:paraId="7BAA85A8" w14:textId="2D92ABDA">
      <w:pPr>
        <w:pStyle w:val="Normal"/>
      </w:pPr>
      <w:commentRangeStart w:id="17"/>
      <w:r w:rsidR="31D52A1B">
        <w:rPr/>
        <w:t>La interpretación de los resultados exige considerar conjuntamente el escenario en el que se obtienen y las métricas empleadas. Esta sección presenta, en primer lugar, las particularidades de BraTS-GLI 2024 como benchmark de gliomas post-tratamiento y distingue la evaluación interna del TFM del protocolo oficial del reto. A continuación, define Dice y HD95, dos medidas complementarias que resumen, respectivamente, el solapamiento de las regiones segmentadas y el error en sus límites. Este marco permite comprender el alcance de los valores reportados en el Capítulo 5 y evita atribuirles una validez clínica u oficial superior a la respaldada por el protocolo.</w:t>
      </w:r>
      <w:commentRangeEnd w:id="17"/>
      <w:r>
        <w:rPr>
          <w:rStyle w:val="CommentReference"/>
        </w:rPr>
        <w:commentReference w:id="17"/>
      </w:r>
    </w:p>
    <w:p w:rsidR="06910F8B" w:rsidP="06910F8B" w:rsidRDefault="06910F8B" w14:paraId="4EBBECA9" w14:textId="6A482288">
      <w:pPr>
        <w:pStyle w:val="Normal"/>
      </w:pPr>
    </w:p>
    <w:p w:rsidR="00914FAA" w:rsidRDefault="000E7DA8" w14:paraId="1815359D" w14:textId="77777777">
      <w:pPr>
        <w:pStyle w:val="Ttulo3"/>
      </w:pPr>
      <w:bookmarkStart w:name="_Toc176825942" w:id="40"/>
      <w:bookmarkStart w:name="Xe82523ff64417907a949dd9a6cb02c8c2661d3b" w:id="41"/>
      <w:r>
        <w:t xml:space="preserve">2.5.1. Del </w:t>
      </w:r>
      <w:r w:rsidRPr="6E9E5ECF">
        <w:rPr>
          <w:i/>
          <w:iCs/>
        </w:rPr>
        <w:t>benchmark</w:t>
      </w:r>
      <w:r>
        <w:t xml:space="preserve"> BraTS al escenario post-tratamiento</w:t>
      </w:r>
      <w:bookmarkEnd w:id="40"/>
    </w:p>
    <w:p w:rsidR="00914FAA" w:rsidRDefault="000E7DA8" w14:paraId="00B67DB0" w14:textId="77777777">
      <w:r>
        <w:t xml:space="preserve">BraTS estableció un marco común para comparar segmentación multimodal de tumores cerebrales mediante datos anotados, regiones objetivo y métricas compartidas (Menze et al., 2015). La edición </w:t>
      </w:r>
      <w:r>
        <w:rPr>
          <w:b/>
          <w:bCs/>
        </w:rPr>
        <w:t>BraTS-GLI 2024</w:t>
      </w:r>
      <w:r>
        <w:t xml:space="preserve"> se centra en gliomas post-tratamiento y reúne estudios MRI multicéntricos, un escenario donde los cambios terapéuticos aumentan la heterogeneidad visual y la dificultad de delimitación (de Verdier et al., 2024). Las cuatro secuencias utilizadas por este TFM son T1n, T1c, T2w y FLAIR, y la evaluación se expresa de manera consistente para las regiones anidadas ET, TC y WT.</w:t>
      </w:r>
    </w:p>
    <w:p w:rsidR="00914FAA" w:rsidRDefault="000E7DA8" w14:paraId="74007E82" w14:textId="4A5D90A1">
      <w:r w:rsidR="6A5F4401">
        <w:rPr/>
        <w:t xml:space="preserve">El contexto </w:t>
      </w:r>
      <w:r w:rsidR="6A5F4401">
        <w:rPr/>
        <w:t>post-tratamiento</w:t>
      </w:r>
      <w:r w:rsidR="6A5F4401">
        <w:rPr/>
        <w:t xml:space="preserve"> tiene además carácter longitudinal</w:t>
      </w:r>
      <w:r w:rsidR="4C934317">
        <w:rPr/>
        <w:t>. E</w:t>
      </w:r>
      <w:r w:rsidR="6A5F4401">
        <w:rPr/>
        <w:t xml:space="preserve">l seguimiento clínico puede producir más de un estudio del mismo sujeto en momentos distintos. Esta propiedad es relevante para interpretar la independencia de las observaciones y para diseñar particiones, aunque el procedimiento concreto de separación pertenece a los </w:t>
      </w:r>
      <w:r w:rsidR="6A5F4401">
        <w:rPr/>
        <w:t>capítulos de metodología y desarrollo. El marco teórico se limita aquí a señalar que el «caso» de imagen y el «sujeto» no tienen por qué ser unidades equivalentes (de Verdier et al., 2024).</w:t>
      </w:r>
    </w:p>
    <w:p w:rsidR="00914FAA" w:rsidRDefault="000E7DA8" w14:paraId="52023C8F" w14:textId="77777777">
      <w:r w:rsidR="6A5F4401">
        <w:rPr/>
        <w:t xml:space="preserve">BraTS-GLI emplea una evaluación oficial sobre datos ocultos y métricas </w:t>
      </w:r>
      <w:r w:rsidRPr="06910F8B" w:rsidR="6A5F4401">
        <w:rPr>
          <w:b w:val="1"/>
          <w:bCs w:val="1"/>
        </w:rPr>
        <w:t>por lesión</w:t>
      </w:r>
      <w:r w:rsidR="6A5F4401">
        <w:rPr/>
        <w:t>. Los resultados internos de este trabajo, en cambio, proceden del conjunto de test local y calculan las métricas sobre la máscara completa de cada región. Esta evaluación es adecuada para comparar de manera homogénea los experimentos del TFM, pero sus valores no deben presentarse como resultados del servidor oficial ni compararse de forma directa con una clasificación oficial sin reproducir su protocolo lesion-wise (de Verdier et al., 2024).</w:t>
      </w:r>
    </w:p>
    <w:p w:rsidR="06910F8B" w:rsidRDefault="06910F8B" w14:paraId="2163E439" w14:textId="3F6F4B34"/>
    <w:p w:rsidR="00914FAA" w:rsidRDefault="000E7DA8" w14:paraId="3ADA1E94" w14:textId="77777777">
      <w:pPr>
        <w:pStyle w:val="Ttulo3"/>
      </w:pPr>
      <w:bookmarkStart w:name="_Toc323440605" w:id="42"/>
      <w:bookmarkStart w:name="coeficiente-dice-y-distancia-hd95" w:id="43"/>
      <w:bookmarkEnd w:id="37"/>
      <w:r>
        <w:t>2.5.2. Coeficiente Dice y distancia HD95</w:t>
      </w:r>
      <w:bookmarkEnd w:id="42"/>
    </w:p>
    <w:p w:rsidR="00914FAA" w:rsidRDefault="000E7DA8" w14:paraId="5CD3EB6E" w14:textId="20408EE6">
      <w:r w:rsidR="6A5F4401">
        <w:rPr/>
        <w:t xml:space="preserve">Para una región </w:t>
      </w:r>
      <m:oMath xmlns:m="http://schemas.openxmlformats.org/officeDocument/2006/math">
        <m:r xmlns:m="http://schemas.openxmlformats.org/officeDocument/2006/math">
          <w:rPr xmlns:w="http://schemas.openxmlformats.org/wordprocessingml/2006/main">
            <w:rFonts w:ascii="Cambria Math" w:hAnsi="Cambria Math"/>
          </w:rPr>
          <m:t xmlns:m="http://schemas.openxmlformats.org/officeDocument/2006/math">r</m:t>
        </m:r>
      </m:oMath>
      <w:r w:rsidR="525ABFD4">
        <w:rPr/>
        <w:t xml:space="preserve"> </w:t>
      </w:r>
      <w:r w:rsidR="6A5F4401">
        <w:rPr/>
        <w:t>,</w:t>
      </w:r>
      <w:r w:rsidR="6A5F4401">
        <w:rPr/>
        <w:t xml:space="preserve"> sean </w:t>
      </w:r>
      <m:oMath xmlns:m="http://schemas.openxmlformats.org/officeDocument/2006/math">
        <m:sSub xmlns:m="http://schemas.openxmlformats.org/officeDocument/2006/math">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r</m:t>
            </m:r>
          </m:sub>
        </m:sSub>
      </m:oMath>
      <w:r w:rsidR="6A5F4401">
        <w:rPr/>
        <w:t xml:space="preserve"> </w:t>
      </w:r>
      <w:r w:rsidR="16FE1F29">
        <w:rPr/>
        <w:t xml:space="preserve">  </w:t>
      </w:r>
      <w:r w:rsidR="6A5F4401">
        <w:rPr/>
        <w:t xml:space="preserve">el conjunto de </w:t>
      </w:r>
      <w:r w:rsidR="6A5F4401">
        <w:rPr/>
        <w:t>vóxeles</w:t>
      </w:r>
      <w:r w:rsidR="6A5F4401">
        <w:rPr/>
        <w:t xml:space="preserve"> predichos y </w:t>
      </w:r>
      <m:oMath xmlns:m="http://schemas.openxmlformats.org/officeDocument/2006/math">
        <m:sSub xmlns:m="http://schemas.openxmlformats.org/officeDocument/2006/math">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r</m:t>
            </m:r>
          </m:sub>
        </m:sSub>
      </m:oMath>
      <w:r w:rsidR="6A5F4401">
        <w:rPr/>
        <w:t xml:space="preserve"> </w:t>
      </w:r>
      <w:r w:rsidR="02089425">
        <w:rPr/>
        <w:t xml:space="preserve">  </w:t>
      </w:r>
      <w:r w:rsidR="6A5F4401">
        <w:rPr/>
        <w:t xml:space="preserve">la referencia. El </w:t>
      </w:r>
      <w:r w:rsidRPr="06910F8B" w:rsidR="6A5F4401">
        <w:rPr>
          <w:b w:val="1"/>
          <w:bCs w:val="1"/>
        </w:rPr>
        <w:t>coeficiente Dice</w:t>
      </w:r>
      <w:r w:rsidR="6A5F4401">
        <w:rPr/>
        <w:t xml:space="preserve"> se define como</w:t>
      </w:r>
    </w:p>
    <w:p w:rsidR="00914FAA" w:rsidRDefault="000E7DA8" w14:paraId="48FBC8BB" w14:textId="77777777">
      <m:oMathPara>
        <m:oMathParaPr>
          <m:jc m:val="center"/>
        </m:oMathParaPr>
        <m:oMath>
          <m:r>
            <m:rPr>
              <m:sty m:val="p"/>
            </m:rPr>
            <w:rPr>
              <w:rFonts w:ascii="Cambria Math" w:hAnsi="Cambria Math"/>
            </w:rPr>
            <m:t>Dice(</m:t>
          </m:r>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den>
          </m:f>
          <m:r>
            <m:rPr>
              <m:sty m:val="p"/>
            </m:rPr>
            <w:rPr>
              <w:rFonts w:ascii="Cambria Math" w:hAnsi="Cambria Math"/>
            </w:rPr>
            <m:t>.</m:t>
          </m:r>
        </m:oMath>
      </m:oMathPara>
    </w:p>
    <w:p w:rsidR="00914FAA" w:rsidRDefault="000E7DA8" w14:paraId="7E508BBE" w14:textId="7C3B7ECD">
      <w:r w:rsidR="6A5F4401">
        <w:rPr/>
        <w:t>Dice toma valores entre 0 y 1 y mide solapamiento</w:t>
      </w:r>
      <w:r w:rsidR="5C2C0463">
        <w:rPr/>
        <w:t xml:space="preserve"> donde</w:t>
      </w:r>
      <w:r w:rsidR="6A5F4401">
        <w:rPr/>
        <w:t xml:space="preserve"> 1 representa coincidencia perfecta. Es sensible a errores relativos en regiones pequeñas y no informa directamente de la distancia física entre fronteras (Dice, 1945; Taha &amp; Hanbury, 2015).</w:t>
      </w:r>
    </w:p>
    <w:p w:rsidR="00914FAA" w:rsidRDefault="000E7DA8" w14:paraId="211A49FE" w14:textId="798354EB">
      <w:r w:rsidR="6A5F4401">
        <w:rPr/>
        <w:t xml:space="preserve">Para complementar el solapamiento se emplea la </w:t>
      </w:r>
      <w:r w:rsidR="6A5F4401">
        <w:rPr>
          <w:b w:val="1"/>
          <w:bCs w:val="1"/>
        </w:rPr>
        <w:t>distancia de Hausdorff al percentil 95</w:t>
      </w:r>
      <w:r w:rsidR="6A5F4401">
        <w:rPr/>
        <w:t xml:space="preserve">. Sean </w:t>
      </w:r>
      <m:oMath xmlns:m="http://schemas.openxmlformats.org/officeDocument/2006/math">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sSub xmlns:m="http://schemas.openxmlformats.org/officeDocument/2006/math">
          <m:sSubPr>
            <m:ctrlPr>
              <w:rPr xmlns:w="http://schemas.openxmlformats.org/wordprocessingml/2006/main">
                <w:rFonts w:ascii="Cambria Math" w:hAnsi="Cambria Math"/>
              </w:rPr>
            </m:ctrlPr>
          </m:sSubPr>
          <m:e>
            <m:r>
              <w:rPr xmlns:w="http://schemas.openxmlformats.org/wordprocessingml/2006/main">
                <w:rFonts w:ascii="Cambria Math" w:hAnsi="Cambria Math"/>
              </w:rPr>
              <m:t>P</m:t>
            </m:r>
          </m:e>
          <m:sub>
            <m:r>
              <w:rPr xmlns:w="http://schemas.openxmlformats.org/wordprocessingml/2006/main">
                <w:rFonts w:ascii="Cambria Math" w:hAnsi="Cambria Math"/>
              </w:rPr>
              <m:t>r</m:t>
            </m:r>
          </m:sub>
        </m:sSub>
      </m:oMath>
      <w:r w:rsidR="041FD25F">
        <w:rPr/>
        <w:t xml:space="preserve">      </w:t>
      </w:r>
      <w:r w:rsidR="6A5F4401">
        <w:rPr/>
        <w:t>y</w:t>
      </w:r>
      <w:r w:rsidR="15297F52">
        <w:rPr/>
        <w:t xml:space="preserve">  </w:t>
      </w:r>
      <m:oMath xmlns:m="http://schemas.openxmlformats.org/officeDocument/2006/math">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sSub xmlns:m="http://schemas.openxmlformats.org/officeDocument/2006/math">
          <m:sSubPr>
            <m:ctrlPr>
              <w:rPr xmlns:w="http://schemas.openxmlformats.org/wordprocessingml/2006/main">
                <w:rFonts w:ascii="Cambria Math" w:hAnsi="Cambria Math"/>
              </w:rPr>
            </m:ctrlPr>
          </m:sSubPr>
          <m:e>
            <m:r>
              <w:rPr xmlns:w="http://schemas.openxmlformats.org/wordprocessingml/2006/main">
                <w:rFonts w:ascii="Cambria Math" w:hAnsi="Cambria Math"/>
              </w:rPr>
              <m:t>G</m:t>
            </m:r>
          </m:e>
          <m:sub>
            <m:r>
              <w:rPr xmlns:w="http://schemas.openxmlformats.org/wordprocessingml/2006/main">
                <w:rFonts w:ascii="Cambria Math" w:hAnsi="Cambria Math"/>
              </w:rPr>
              <m:t>r</m:t>
            </m:r>
          </m:sub>
        </m:sSub>
      </m:oMath>
      <w:r w:rsidR="11EDD682">
        <w:rPr/>
        <w:t xml:space="preserve">  </w:t>
      </w:r>
      <w:r w:rsidR="286FAB27">
        <w:rPr/>
        <w:t xml:space="preserve"> </w:t>
      </w:r>
      <w:r w:rsidR="0E1E1A4F">
        <w:rPr/>
        <w:t xml:space="preserve">  </w:t>
      </w:r>
      <w:r w:rsidR="07802520">
        <w:rPr/>
        <w:t xml:space="preserve"> </w:t>
      </w:r>
      <w:r w:rsidR="6A5F4401">
        <w:rPr/>
        <w:t xml:space="preserve">las superficies de ambas máscaras y </w:t>
      </w:r>
      <m:oMath xmlns:m="http://schemas.openxmlformats.org/officeDocument/2006/math">
        <m:r xmlns:m="http://schemas.openxmlformats.org/officeDocument/2006/math">
          <w:rPr xmlns:w="http://schemas.openxmlformats.org/wordprocessingml/2006/main">
            <w:rFonts w:ascii="Cambria Math" w:hAnsi="Cambria Math"/>
          </w:rPr>
          <m:t xmlns:m="http://schemas.openxmlformats.org/officeDocument/2006/math">d</m:t>
        </m:r>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r xmlns:m="http://schemas.openxmlformats.org/officeDocument/2006/math">
          <w:rPr xmlns:w="http://schemas.openxmlformats.org/wordprocessingml/2006/main">
            <w:rFonts w:ascii="Cambria Math" w:hAnsi="Cambria Math"/>
          </w:rPr>
          <m:t xmlns:m="http://schemas.openxmlformats.org/officeDocument/2006/math">a</m:t>
        </m:r>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r xmlns:m="http://schemas.openxmlformats.org/officeDocument/2006/math">
          <w:rPr xmlns:w="http://schemas.openxmlformats.org/wordprocessingml/2006/main">
            <w:rFonts w:ascii="Cambria Math" w:hAnsi="Cambria Math"/>
          </w:rPr>
          <m:t xmlns:m="http://schemas.openxmlformats.org/officeDocument/2006/math">S</m:t>
        </m:r>
        <m:r xmlns:m="http://schemas.openxmlformats.org/officeDocument/2006/math">
          <m:rPr xmlns:m="http://schemas.openxmlformats.org/officeDocument/2006/math">
            <m:sty m:val="p"/>
          </m:rPr>
          <w:rPr xmlns:w="http://schemas.openxmlformats.org/wordprocessingml/2006/main">
            <w:rFonts w:ascii="Cambria Math" w:hAnsi="Cambria Math"/>
          </w:rPr>
          <m:t xmlns:m="http://schemas.openxmlformats.org/officeDocument/2006/math">)=</m:t>
        </m:r>
        <m:sSub xmlns:m="http://schemas.openxmlformats.org/officeDocument/2006/math">
          <m:sSubPr>
            <m:ctrlPr>
              <w:rPr xmlns:w="http://schemas.openxmlformats.org/wordprocessingml/2006/main">
                <w:rFonts w:ascii="Cambria Math" w:hAnsi="Cambria Math"/>
              </w:rPr>
            </m:ctrlPr>
          </m:sSubPr>
          <m:e>
            <m:r>
              <m:rPr>
                <m:sty m:val="p"/>
              </m:rPr>
              <w:rPr xmlns:w="http://schemas.openxmlformats.org/wordprocessingml/2006/main">
                <w:rFonts w:ascii="Cambria Math" w:hAnsi="Cambria Math"/>
              </w:rPr>
              <m:t>min</m:t>
            </m:r>
          </m:e>
          <m:sub>
            <m:r>
              <w:rPr xmlns:w="http://schemas.openxmlformats.org/wordprocessingml/2006/main">
                <w:rFonts w:ascii="Cambria Math" w:hAnsi="Cambria Math"/>
              </w:rPr>
              <m:t>s</m:t>
            </m:r>
            <m:r>
              <m:rPr>
                <m:sty m:val="p"/>
              </m:rPr>
              <w:rPr xmlns:w="http://schemas.openxmlformats.org/wordprocessingml/2006/main">
                <w:rFonts w:ascii="Cambria Math" w:hAnsi="Cambria Math"/>
              </w:rPr>
              <m:t>∈</m:t>
            </m:r>
            <m:r>
              <w:rPr xmlns:w="http://schemas.openxmlformats.org/wordprocessingml/2006/main">
                <w:rFonts w:ascii="Cambria Math" w:hAnsi="Cambria Math"/>
              </w:rPr>
              <m:t>S</m:t>
            </m:r>
          </m:sub>
        </m:sSub>
        <m:sSub xmlns:m="http://schemas.openxmlformats.org/officeDocument/2006/math">
          <m:sSubPr>
            <m:ctrlPr>
              <w:rPr xmlns:w="http://schemas.openxmlformats.org/wordprocessingml/2006/main">
                <w:rFonts w:ascii="Cambria Math" w:hAnsi="Cambria Math"/>
              </w:rPr>
            </m:ctrlPr>
          </m:sSubPr>
          <m:e>
            <m:d>
              <m:dPr>
                <m:begChr m:val="‖"/>
                <m:endChr m:val="‖"/>
                <m:ctrlPr>
                  <w:rPr xmlns:w="http://schemas.openxmlformats.org/wordprocessingml/2006/main">
                    <w:rFonts w:ascii="Cambria Math" w:hAnsi="Cambria Math"/>
                  </w:rPr>
                </m:ctrlPr>
              </m:dPr>
              <m:e>
                <m:r>
                  <w:rPr xmlns:w="http://schemas.openxmlformats.org/wordprocessingml/2006/main">
                    <w:rFonts w:ascii="Cambria Math" w:hAnsi="Cambria Math"/>
                  </w:rPr>
                  <m:t>a</m:t>
                </m:r>
                <m:r>
                  <m:rPr>
                    <m:sty m:val="p"/>
                  </m:rPr>
                  <w:rPr xmlns:w="http://schemas.openxmlformats.org/wordprocessingml/2006/main">
                    <w:rFonts w:ascii="Cambria Math" w:hAnsi="Cambria Math"/>
                  </w:rPr>
                  <m:t>-</m:t>
                </m:r>
                <m:r>
                  <w:rPr xmlns:w="http://schemas.openxmlformats.org/wordprocessingml/2006/main">
                    <w:rFonts w:ascii="Cambria Math" w:hAnsi="Cambria Math"/>
                  </w:rPr>
                  <m:t>s</m:t>
                </m:r>
              </m:e>
            </m:d>
          </m:e>
          <m:sub>
            <m:r>
              <w:rPr xmlns:w="http://schemas.openxmlformats.org/wordprocessingml/2006/main">
                <w:rFonts w:ascii="Cambria Math" w:hAnsi="Cambria Math"/>
              </w:rPr>
              <m:t>2</m:t>
            </m:r>
          </m:sub>
        </m:sSub>
      </m:oMath>
      <w:r w:rsidR="6A5F4401">
        <w:rPr/>
        <w:t xml:space="preserve"> </w:t>
      </w:r>
      <w:r w:rsidR="59DD0FB3">
        <w:rPr/>
        <w:t xml:space="preserve">                                   </w:t>
      </w:r>
      <w:r w:rsidR="6A5F4401">
        <w:rPr/>
        <w:t>la distancia de un punto a una superficie, calculada con el espaciado físico de la imagen. Entonces,</w:t>
      </w:r>
    </w:p>
    <w:p w:rsidR="00914FAA" w:rsidRDefault="000E7DA8" w14:paraId="769A419D" w14:textId="20C30466">
      <w:r w:rsidR="4E135D56">
        <w:rPr/>
        <w:t xml:space="preserve">                 </w:t>
      </w:r>
    </w:p>
    <w:p w:rsidR="00914FAA" w:rsidRDefault="000E7DA8" w14:paraId="16D40D2A" w14:textId="448D0189">
      <w:r w:rsidR="6A5F4401">
        <w:rPr/>
        <w:t xml:space="preserve">donde </w:t>
      </w:r>
      <m:oMath xmlns:m="http://schemas.openxmlformats.org/officeDocument/2006/math">
        <m:sSub xmlns:m="http://schemas.openxmlformats.org/officeDocument/2006/math">
          <m:sSubPr>
            <m:ctrlPr>
              <w:rPr xmlns:w="http://schemas.openxmlformats.org/wordprocessingml/2006/main">
                <w:rFonts w:ascii="Cambria Math" w:hAnsi="Cambria Math"/>
              </w:rPr>
            </m:ctrlPr>
          </m:sSubPr>
          <m:e>
            <m:r>
              <w:rPr xmlns:w="http://schemas.openxmlformats.org/wordprocessingml/2006/main">
                <w:rFonts w:ascii="Cambria Math" w:hAnsi="Cambria Math"/>
              </w:rPr>
              <m:t>Q</m:t>
            </m:r>
          </m:e>
          <m:sub>
            <m:r>
              <w:rPr xmlns:w="http://schemas.openxmlformats.org/wordprocessingml/2006/main">
                <w:rFonts w:ascii="Cambria Math" w:hAnsi="Cambria Math"/>
              </w:rPr>
              <m:t>0.95</m:t>
            </m:r>
          </m:sub>
        </m:sSub>
      </m:oMath>
      <w:r w:rsidR="3FD6D906">
        <w:rPr/>
        <w:t xml:space="preserve">      </w:t>
      </w:r>
      <w:r w:rsidR="6A5F4401">
        <w:rPr/>
        <w:t>es el percentil 95 del conjunto simétrico de distancias. Frente al máximo clásico de Hausdorff, el percentil reduce la influencia de unos pocos valores extremos. Su unidad es el milímetro y un valor menor indica fronteras más próximas (</w:t>
      </w:r>
      <w:r w:rsidR="6A5F4401">
        <w:rPr/>
        <w:t>Huttenlocher</w:t>
      </w:r>
      <w:r w:rsidR="6A5F4401">
        <w:rPr/>
        <w:t xml:space="preserve"> et al., 1993; Taha &amp; Hanbury, 2015).</w:t>
      </w:r>
    </w:p>
    <w:p w:rsidR="00914FAA" w:rsidRDefault="000E7DA8" w14:paraId="6009B1BD" w14:textId="37F941E7">
      <w:r w:rsidR="6A5F4401">
        <w:rPr/>
        <w:t>Los casos vacíos requieren convenciones explícitas. En la evaluación interna, si predicción y referencia están vacías</w:t>
      </w:r>
      <w:r w:rsidR="095D26CC">
        <w:rPr/>
        <w:t>,</w:t>
      </w:r>
      <w:r w:rsidR="6A5F4401">
        <w:rPr/>
        <w:t xml:space="preserve"> se asigna Dice = 1 y HD95 = 0</w:t>
      </w:r>
      <w:r w:rsidR="13BCEEA0">
        <w:rPr/>
        <w:t>. S</w:t>
      </w:r>
      <w:r w:rsidR="6A5F4401">
        <w:rPr/>
        <w:t>i solo una está vacía, se asigna Dice = 0 y HD95 infinita. Los valores infinitos se conservan a nivel de caso para identificar el fallo, pero se excluyen de los agregados finitos de HD95. Estas reglas, junto con el cálculo separado para ET, TC y WT, evitan que una implementación implícita altere la interpretación de los resultados.</w:t>
      </w:r>
    </w:p>
    <w:p w:rsidR="06910F8B" w:rsidRDefault="06910F8B" w14:paraId="036FBFCB" w14:textId="2279B09F"/>
    <w:p w:rsidR="00914FAA" w:rsidRDefault="000E7DA8" w14:paraId="6EF48350" w14:textId="77777777">
      <w:pPr>
        <w:pStyle w:val="Ttulo2"/>
      </w:pPr>
      <w:bookmarkStart w:name="_Toc1544227300" w:id="44"/>
      <w:bookmarkStart w:name="coste-computacional-y-reproducibilidad" w:id="45"/>
      <w:bookmarkEnd w:id="39"/>
      <w:bookmarkEnd w:id="41"/>
      <w:r>
        <w:t>2.6. Coste computacional y reproducibilidad</w:t>
      </w:r>
      <w:bookmarkEnd w:id="44"/>
    </w:p>
    <w:p w:rsidR="00914FAA" w:rsidRDefault="000E7DA8" w14:paraId="355E843B" w14:textId="77777777">
      <w:commentRangeStart w:id="18"/>
      <w:r>
        <w:t xml:space="preserve">La calidad de segmentación no basta para valorar una arquitectura. En un problema 3D deben considerarse al menos cuatro dimensiones de coste. El </w:t>
      </w:r>
      <w:r>
        <w:rPr>
          <w:b/>
          <w:bCs/>
        </w:rPr>
        <w:t>número de parámetros</w:t>
      </w:r>
      <w:r>
        <w:t xml:space="preserve"> aproxima la capacidad del modelo y el tamaño de sus pesos; la </w:t>
      </w:r>
      <w:r>
        <w:rPr>
          <w:b/>
          <w:bCs/>
        </w:rPr>
        <w:t xml:space="preserve">memoria máxima del </w:t>
      </w:r>
      <w:r>
        <w:rPr>
          <w:b/>
          <w:bCs/>
        </w:rPr>
        <w:lastRenderedPageBreak/>
        <w:t>acelerador</w:t>
      </w:r>
      <w:r>
        <w:t xml:space="preserve"> incluye también activaciones, gradientes y estados del optimizador, por lo que depende del parche, el lote y la precisión numérica; el </w:t>
      </w:r>
      <w:r>
        <w:rPr>
          <w:b/>
          <w:bCs/>
        </w:rPr>
        <w:t>tiempo de entrenamiento</w:t>
      </w:r>
      <w:r>
        <w:t xml:space="preserve"> refleja el coste de obtener el modelo; y el </w:t>
      </w:r>
      <w:r>
        <w:rPr>
          <w:b/>
          <w:bCs/>
        </w:rPr>
        <w:t>tiempo de inferencia</w:t>
      </w:r>
      <w:r>
        <w:t xml:space="preserve"> condiciona su uso posterior. Dos redes con un número parecido de parámetros pueden diferir notablemente en memoria o latencia por la forma de sus operaciones.</w:t>
      </w:r>
      <w:commentRangeEnd w:id="18"/>
      <w:r>
        <w:rPr>
          <w:rStyle w:val="CommentReference"/>
        </w:rPr>
        <w:commentReference w:id="18"/>
      </w:r>
    </w:p>
    <w:p w:rsidR="00914FAA" w:rsidP="06910F8B" w:rsidRDefault="000E7DA8" w14:paraId="0603A221" w14:textId="19D6085E">
      <w:pPr>
        <w:pStyle w:val="Normal"/>
        <w:suppressLineNumbers w:val="0"/>
        <w:bidi w:val="0"/>
        <w:spacing w:before="0" w:beforeAutospacing="off" w:after="200" w:afterAutospacing="off" w:line="276" w:lineRule="auto"/>
        <w:ind w:left="0" w:right="0"/>
        <w:jc w:val="both"/>
      </w:pPr>
      <w:r w:rsidR="6A5F4401">
        <w:rPr/>
        <w:t>Las medidas temporales solo son comparables si se documentan hardware, versiones de software, tamaño de entrada, precisión, lote y procedimiento de medida. Además, el entrenamiento es estocástico y el tiempo hasta alcanzar una solución presenta variabilidad</w:t>
      </w:r>
      <w:r w:rsidR="0CD19DE1">
        <w:rPr/>
        <w:t>. L</w:t>
      </w:r>
      <w:r w:rsidR="6A5F4401">
        <w:rPr/>
        <w:t xml:space="preserve">os principios de </w:t>
      </w:r>
      <w:r w:rsidRPr="06910F8B" w:rsidR="6A5F4401">
        <w:rPr>
          <w:i w:val="1"/>
          <w:iCs w:val="1"/>
        </w:rPr>
        <w:t>benchmarking</w:t>
      </w:r>
      <w:r w:rsidR="6A5F4401">
        <w:rPr/>
        <w:t xml:space="preserve"> de </w:t>
      </w:r>
      <w:r w:rsidR="6A5F4401">
        <w:rPr/>
        <w:t>MLPerf</w:t>
      </w:r>
      <w:r w:rsidR="6A5F4401">
        <w:rPr/>
        <w:t xml:space="preserve"> subrayan la necesidad de fijar tanto el sistema como el objetivo medido (Mattson et al., 2020). Del mismo modo, publicar configuraciones, particiones, semillas y código favorece que otros investigadores puedan reconstruir y comprobar los hallazgos (Pineau et al., 2021).</w:t>
      </w:r>
    </w:p>
    <w:p w:rsidR="00914FAA" w:rsidRDefault="000E7DA8" w14:paraId="546F8588" w14:textId="77777777">
      <w:r w:rsidR="6A5F4401">
        <w:rPr/>
        <w:t>En este TFM, estas magnitudes cumplen dos funciones distintas. Dentro de la ablación de fusión, permiten verificar si el mecanismo añadido es realmente ligero frente a la misma Residual U-Net. En la comparación contextual entre arquitecturas, ayudan a explicar las diferencias de escala, pero no corrigen por sí solas cambios de hardware o protocolo. Por ello, los tiempos obtenidos en entornos distintos se documentan como evidencia descriptiva y no como una clasificación universal de eficiencia.</w:t>
      </w:r>
    </w:p>
    <w:p w:rsidR="06910F8B" w:rsidRDefault="06910F8B" w14:paraId="65F2CF10" w14:textId="2C82F044"/>
    <w:p w:rsidR="00914FAA" w:rsidRDefault="000E7DA8" w14:paraId="55629F6D" w14:textId="77777777">
      <w:pPr>
        <w:pStyle w:val="Ttulo2"/>
      </w:pPr>
      <w:bookmarkStart w:name="_Toc1275884400" w:id="46"/>
      <w:bookmarkStart w:name="X2e8c0e900780bf78a4370554b348d72eaa828f0" w:id="47"/>
      <w:bookmarkEnd w:id="43"/>
      <w:r>
        <w:t>2.7. Implementaciones y repositorios considerados</w:t>
      </w:r>
      <w:bookmarkEnd w:id="46"/>
    </w:p>
    <w:p w:rsidR="00914FAA" w:rsidRDefault="000E7DA8" w14:paraId="438AFD74" w14:textId="7FF463E5">
      <w:commentRangeStart w:id="19"/>
      <w:r w:rsidR="6A5F4401">
        <w:rPr/>
        <w:t>La elección de software se realizó atendiendo a cinco criterios</w:t>
      </w:r>
      <w:r w:rsidR="74C0BF24">
        <w:rPr/>
        <w:t xml:space="preserve">, como son: </w:t>
      </w:r>
      <w:r w:rsidR="6A5F4401">
        <w:rPr/>
        <w:t xml:space="preserve"> correspondencia con las familias arquitectónicas relevantes, soporte de tensores 3D y entradas multicanal, disponibilidad de una implementación pública identificable, esfuerzo de integración con el </w:t>
      </w:r>
      <w:r w:rsidRPr="06910F8B" w:rsidR="6A5F4401">
        <w:rPr>
          <w:i w:val="1"/>
          <w:iCs w:val="1"/>
        </w:rPr>
        <w:t>pipeline</w:t>
      </w:r>
      <w:r w:rsidR="6A5F4401">
        <w:rPr/>
        <w:t xml:space="preserve"> y licencia del código. MONAI aporta componentes específicos de imagen médica sobre </w:t>
      </w:r>
      <w:r w:rsidR="6A5F4401">
        <w:rPr/>
        <w:t>PyTorch</w:t>
      </w:r>
      <w:r w:rsidR="6A5F4401">
        <w:rPr/>
        <w:t xml:space="preserve"> y una interfaz común para transformaciones, redes e inferencia (Cardoso et al., 2022). </w:t>
      </w:r>
      <w:r w:rsidR="6A5F4401">
        <w:rPr/>
        <w:t>nnU</w:t>
      </w:r>
      <w:r w:rsidR="6A5F4401">
        <w:rPr/>
        <w:t xml:space="preserve">-Net y </w:t>
      </w:r>
      <w:r w:rsidR="6A5F4401">
        <w:rPr/>
        <w:t>TransBTS</w:t>
      </w:r>
      <w:r w:rsidR="6A5F4401">
        <w:rPr/>
        <w:t xml:space="preserve"> se evaluaron a partir de sus repositorios oficiales</w:t>
      </w:r>
      <w:r w:rsidR="4EB2EBBD">
        <w:rPr/>
        <w:t>, donde</w:t>
      </w:r>
      <w:r w:rsidR="6A5F4401">
        <w:rPr/>
        <w:t xml:space="preserve"> el primero constituye un sistema externo </w:t>
      </w:r>
      <w:r w:rsidR="6A5F4401">
        <w:rPr/>
        <w:t>auto-configurable</w:t>
      </w:r>
      <w:r w:rsidR="6A5F4401">
        <w:rPr/>
        <w:t xml:space="preserve"> y el segundo una alternativa híbrida especializada.</w:t>
      </w:r>
      <w:commentRangeEnd w:id="19"/>
      <w:r>
        <w:rPr>
          <w:rStyle w:val="CommentReference"/>
        </w:rPr>
        <w:commentReference w:id="19"/>
      </w:r>
    </w:p>
    <w:p w:rsidR="00914FAA" w:rsidRDefault="000E7DA8" w14:paraId="462A1159" w14:textId="3765DA2A">
      <w:r w:rsidR="6A5F4401">
        <w:rPr/>
        <w:t>La Tabla 2 aplica esos criterios a las opciones que influyeron en el diseño. «Multimodal» significa aquí que la implementación admite las modalidades como canales o dispone de un flujo específico para ellas</w:t>
      </w:r>
      <w:r w:rsidR="1F4CDEF0">
        <w:rPr/>
        <w:t xml:space="preserve">, lo que </w:t>
      </w:r>
      <w:r w:rsidR="6A5F4401">
        <w:rPr/>
        <w:t xml:space="preserve">no implica que incorpore ponderación explícita. La licencia indicada corresponde al </w:t>
      </w:r>
      <w:r w:rsidRPr="06910F8B" w:rsidR="6A5F4401">
        <w:rPr>
          <w:b w:val="1"/>
          <w:bCs w:val="1"/>
        </w:rPr>
        <w:t>software</w:t>
      </w:r>
      <w:r w:rsidR="6A5F4401">
        <w:rPr/>
        <w:t xml:space="preserve"> consultado. El acceso y uso de </w:t>
      </w:r>
      <w:r w:rsidR="6A5F4401">
        <w:rPr/>
        <w:t>BraTS</w:t>
      </w:r>
      <w:r w:rsidR="6A5F4401">
        <w:rPr/>
        <w:t>-GLI se rigen por las condiciones propias del conjunto de datos y no se deducen de la licencia de estos repositorios.</w:t>
      </w:r>
    </w:p>
    <w:p w:rsidR="06910F8B" w:rsidRDefault="06910F8B" w14:paraId="0E88C14B" w14:textId="0B343268"/>
    <w:p w:rsidR="06910F8B" w:rsidRDefault="06910F8B" w14:paraId="1A61D811" w14:textId="7F54047F"/>
    <w:p w:rsidR="06910F8B" w:rsidRDefault="06910F8B" w14:paraId="46CEEF81" w14:textId="6309AB18"/>
    <w:p w:rsidR="06910F8B" w:rsidRDefault="06910F8B" w14:paraId="578CB025" w14:textId="7255DB32"/>
    <w:p w:rsidR="06910F8B" w:rsidRDefault="06910F8B" w14:paraId="0772F845" w14:textId="6AB07581"/>
    <w:p w:rsidR="06910F8B" w:rsidRDefault="06910F8B" w14:paraId="77137946" w14:textId="4ED8481A"/>
    <w:p w:rsidR="06910F8B" w:rsidRDefault="06910F8B" w14:paraId="130D861C" w14:textId="68DEB193"/>
    <w:p w:rsidR="06910F8B" w:rsidRDefault="06910F8B" w14:paraId="424F0F47" w14:textId="06177256"/>
    <w:p w:rsidR="06910F8B" w:rsidRDefault="06910F8B" w14:paraId="58387A61" w14:textId="414E58D2"/>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418"/>
        <w:gridCol w:w="1418"/>
        <w:gridCol w:w="1417"/>
        <w:gridCol w:w="1417"/>
        <w:gridCol w:w="1417"/>
        <w:gridCol w:w="1417"/>
      </w:tblGrid>
      <w:tr w:rsidR="00914FAA" w:rsidTr="06910F8B" w14:paraId="7CFB7D5A" w14:textId="77777777">
        <w:trPr>
          <w:cantSplit/>
          <w:tblHeader/>
          <w:jc w:val="center"/>
        </w:trPr>
        <w:tc>
          <w:tcPr>
            <w:tcW w:w="1417" w:type="dxa"/>
            <w:shd w:val="clear" w:color="auto" w:fill="ED7D31"/>
            <w:tcMar>
              <w:top w:w="70" w:type="dxa"/>
              <w:left w:w="70" w:type="dxa"/>
              <w:bottom w:w="70" w:type="dxa"/>
              <w:right w:w="70" w:type="dxa"/>
            </w:tcMar>
            <w:vAlign w:val="center"/>
          </w:tcPr>
          <w:p w:rsidR="00914FAA" w:rsidP="06910F8B" w:rsidRDefault="000E7DA8" w14:paraId="56E864BD"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Componente y fuente de implementación</w:t>
            </w:r>
          </w:p>
        </w:tc>
        <w:tc>
          <w:tcPr>
            <w:tcW w:w="1417" w:type="dxa"/>
            <w:shd w:val="clear" w:color="auto" w:fill="ED7D31"/>
            <w:tcMar>
              <w:top w:w="70" w:type="dxa"/>
              <w:left w:w="70" w:type="dxa"/>
              <w:bottom w:w="70" w:type="dxa"/>
              <w:right w:w="70" w:type="dxa"/>
            </w:tcMar>
            <w:vAlign w:val="center"/>
          </w:tcPr>
          <w:p w:rsidR="00914FAA" w:rsidP="06910F8B" w:rsidRDefault="000E7DA8" w14:paraId="2C6D8599"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Tipo</w:t>
            </w:r>
          </w:p>
        </w:tc>
        <w:tc>
          <w:tcPr>
            <w:tcW w:w="1417" w:type="dxa"/>
            <w:shd w:val="clear" w:color="auto" w:fill="ED7D31"/>
            <w:tcMar>
              <w:top w:w="70" w:type="dxa"/>
              <w:left w:w="70" w:type="dxa"/>
              <w:bottom w:w="70" w:type="dxa"/>
              <w:right w:w="70" w:type="dxa"/>
            </w:tcMar>
            <w:vAlign w:val="center"/>
          </w:tcPr>
          <w:p w:rsidR="00914FAA" w:rsidP="06910F8B" w:rsidRDefault="000E7DA8" w14:paraId="00AAF762"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Soporte 3D y multimodal</w:t>
            </w:r>
          </w:p>
        </w:tc>
        <w:tc>
          <w:tcPr>
            <w:tcW w:w="1417" w:type="dxa"/>
            <w:shd w:val="clear" w:color="auto" w:fill="ED7D31"/>
            <w:tcMar>
              <w:top w:w="70" w:type="dxa"/>
              <w:left w:w="70" w:type="dxa"/>
              <w:bottom w:w="70" w:type="dxa"/>
              <w:right w:w="70" w:type="dxa"/>
            </w:tcMar>
            <w:vAlign w:val="center"/>
          </w:tcPr>
          <w:p w:rsidR="00914FAA" w:rsidP="06910F8B" w:rsidRDefault="000E7DA8" w14:paraId="39E111F1"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Integración y reproducibilidad</w:t>
            </w:r>
          </w:p>
        </w:tc>
        <w:tc>
          <w:tcPr>
            <w:tcW w:w="1417" w:type="dxa"/>
            <w:shd w:val="clear" w:color="auto" w:fill="ED7D31"/>
            <w:tcMar>
              <w:top w:w="70" w:type="dxa"/>
              <w:left w:w="70" w:type="dxa"/>
              <w:bottom w:w="70" w:type="dxa"/>
              <w:right w:w="70" w:type="dxa"/>
            </w:tcMar>
            <w:vAlign w:val="center"/>
          </w:tcPr>
          <w:p w:rsidR="00914FAA" w:rsidP="06910F8B" w:rsidRDefault="000E7DA8" w14:paraId="0A7A0BE5"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Licencia del software</w:t>
            </w:r>
          </w:p>
        </w:tc>
        <w:tc>
          <w:tcPr>
            <w:tcW w:w="1417" w:type="dxa"/>
            <w:shd w:val="clear" w:color="auto" w:fill="ED7D31"/>
            <w:tcMar>
              <w:top w:w="70" w:type="dxa"/>
              <w:left w:w="70" w:type="dxa"/>
              <w:bottom w:w="70" w:type="dxa"/>
              <w:right w:w="70" w:type="dxa"/>
            </w:tcMar>
            <w:vAlign w:val="center"/>
          </w:tcPr>
          <w:p w:rsidR="00914FAA" w:rsidP="06910F8B" w:rsidRDefault="000E7DA8" w14:paraId="0726F7C2"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Decisión razonada</w:t>
            </w:r>
          </w:p>
        </w:tc>
      </w:tr>
      <w:tr w:rsidR="00914FAA" w:rsidTr="06910F8B" w14:paraId="49D78712" w14:textId="77777777">
        <w:trPr>
          <w:cantSplit/>
          <w:jc w:val="center"/>
        </w:trPr>
        <w:tc>
          <w:tcPr>
            <w:tcW w:w="1417" w:type="dxa"/>
            <w:shd w:val="clear" w:color="auto" w:fill="FFFFFF" w:themeFill="background1"/>
            <w:tcMar>
              <w:top w:w="70" w:type="dxa"/>
              <w:left w:w="70" w:type="dxa"/>
              <w:bottom w:w="70" w:type="dxa"/>
              <w:right w:w="70" w:type="dxa"/>
            </w:tcMar>
            <w:vAlign w:val="center"/>
          </w:tcPr>
          <w:p w:rsidR="00914FAA" w:rsidP="06910F8B" w:rsidRDefault="000E7DA8" w14:paraId="5704E885" w14:textId="77777777">
            <w:pPr>
              <w:spacing w:after="0" w:line="240" w:lineRule="auto"/>
              <w:jc w:val="left"/>
              <w:rPr>
                <w:rFonts w:eastAsia="Arial"/>
                <w:color w:val="000000" w:themeColor="text1" w:themeTint="FF" w:themeShade="FF"/>
                <w:sz w:val="20"/>
                <w:szCs w:val="20"/>
              </w:rPr>
            </w:pPr>
            <w:r w:rsidRPr="06910F8B" w:rsidR="6A5F4401">
              <w:rPr>
                <w:rFonts w:eastAsia="Arial"/>
                <w:b w:val="1"/>
                <w:bCs w:val="1"/>
                <w:color w:val="000000" w:themeColor="text1" w:themeTint="FF" w:themeShade="FF"/>
                <w:sz w:val="20"/>
                <w:szCs w:val="20"/>
              </w:rPr>
              <w:t>MONAI</w:t>
            </w:r>
            <w:r w:rsidRPr="06910F8B" w:rsidR="6A5F4401">
              <w:rPr>
                <w:rFonts w:eastAsia="Arial"/>
                <w:color w:val="000000" w:themeColor="text1" w:themeTint="FF" w:themeShade="FF"/>
                <w:sz w:val="20"/>
                <w:szCs w:val="20"/>
              </w:rPr>
              <w:t xml:space="preserve"> (</w:t>
            </w:r>
            <w:hyperlink r:id="R27f223919ff8495d">
              <w:r w:rsidRPr="06910F8B" w:rsidR="6A5F4401">
                <w:rPr>
                  <w:sz w:val="20"/>
                  <w:szCs w:val="20"/>
                </w:rPr>
                <w:t>Project-MONAI/MONAI</w:t>
              </w:r>
            </w:hyperlink>
            <w:r w:rsidRPr="06910F8B" w:rsidR="6A5F4401">
              <w:rPr>
                <w:rFonts w:eastAsia="Arial"/>
                <w:color w:val="000000" w:themeColor="text1" w:themeTint="FF" w:themeShade="FF"/>
                <w:sz w:val="20"/>
                <w:szCs w:val="20"/>
              </w:rPr>
              <w:t>)</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725915D9" w14:textId="77777777">
            <w:pPr>
              <w:spacing w:after="0" w:line="240" w:lineRule="auto"/>
              <w:jc w:val="left"/>
              <w:rPr>
                <w:rFonts w:eastAsia="Arial"/>
                <w:color w:val="000000" w:themeColor="text1" w:themeTint="FF" w:themeShade="FF"/>
                <w:sz w:val="20"/>
                <w:szCs w:val="20"/>
              </w:rPr>
            </w:pPr>
            <w:r w:rsidRPr="06910F8B" w:rsidR="6A5F4401">
              <w:rPr>
                <w:rFonts w:eastAsia="Arial"/>
                <w:i w:val="1"/>
                <w:iCs w:val="1"/>
                <w:color w:val="000000" w:themeColor="text1" w:themeTint="FF" w:themeShade="FF"/>
                <w:sz w:val="20"/>
                <w:szCs w:val="20"/>
              </w:rPr>
              <w:t>Framework</w:t>
            </w:r>
            <w:r w:rsidRPr="06910F8B" w:rsidR="6A5F4401">
              <w:rPr>
                <w:rFonts w:eastAsia="Arial"/>
                <w:color w:val="000000" w:themeColor="text1" w:themeTint="FF" w:themeShade="FF"/>
                <w:sz w:val="20"/>
                <w:szCs w:val="20"/>
              </w:rPr>
              <w:t xml:space="preserve"> de imagen médica sobre PyTorch</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5EA8165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Operadores 3D y entradas multicanal</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716F341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Integración directa; API común para datos, modelos e inferencia</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522F5B8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Apache-2.0</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7DD75B5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 xml:space="preserve">Seleccionado como base del </w:t>
            </w:r>
            <w:r w:rsidRPr="06910F8B" w:rsidR="6A5F4401">
              <w:rPr>
                <w:rFonts w:eastAsia="Arial"/>
                <w:i w:val="1"/>
                <w:iCs w:val="1"/>
                <w:color w:val="000000" w:themeColor="text1" w:themeTint="FF" w:themeShade="FF"/>
                <w:sz w:val="20"/>
                <w:szCs w:val="20"/>
              </w:rPr>
              <w:t>pipeline</w:t>
            </w:r>
            <w:r w:rsidRPr="06910F8B" w:rsidR="6A5F4401">
              <w:rPr>
                <w:rFonts w:eastAsia="Arial"/>
                <w:color w:val="000000" w:themeColor="text1" w:themeTint="FF" w:themeShade="FF"/>
                <w:sz w:val="20"/>
                <w:szCs w:val="20"/>
              </w:rPr>
              <w:t xml:space="preserve"> propio</w:t>
            </w:r>
          </w:p>
        </w:tc>
      </w:tr>
      <w:tr w:rsidR="00914FAA" w:rsidTr="06910F8B" w14:paraId="602756DE" w14:textId="77777777">
        <w:trPr>
          <w:cantSplit/>
          <w:jc w:val="center"/>
        </w:trPr>
        <w:tc>
          <w:tcPr>
            <w:tcW w:w="1417" w:type="dxa"/>
            <w:shd w:val="clear" w:color="auto" w:fill="FCE4D6"/>
            <w:tcMar>
              <w:top w:w="70" w:type="dxa"/>
              <w:left w:w="70" w:type="dxa"/>
              <w:bottom w:w="70" w:type="dxa"/>
              <w:right w:w="70" w:type="dxa"/>
            </w:tcMar>
            <w:vAlign w:val="center"/>
          </w:tcPr>
          <w:p w:rsidR="00914FAA" w:rsidP="06910F8B" w:rsidRDefault="000E7DA8" w14:paraId="6C65AA8F" w14:textId="77777777">
            <w:pPr>
              <w:spacing w:after="0" w:line="240" w:lineRule="auto"/>
              <w:jc w:val="left"/>
              <w:rPr>
                <w:rFonts w:eastAsia="Arial"/>
                <w:color w:val="000000" w:themeColor="text1" w:themeTint="FF" w:themeShade="FF"/>
                <w:sz w:val="20"/>
                <w:szCs w:val="20"/>
              </w:rPr>
            </w:pPr>
            <w:r w:rsidRPr="06910F8B" w:rsidR="6A5F4401">
              <w:rPr>
                <w:rFonts w:eastAsia="Arial"/>
                <w:b w:val="1"/>
                <w:bCs w:val="1"/>
                <w:color w:val="000000" w:themeColor="text1" w:themeTint="FF" w:themeShade="FF"/>
                <w:sz w:val="20"/>
                <w:szCs w:val="20"/>
              </w:rPr>
              <w:t xml:space="preserve">Residual U-Net 3D </w:t>
            </w:r>
            <w:r w:rsidRPr="06910F8B" w:rsidR="6A5F4401">
              <w:rPr>
                <w:rFonts w:eastAsia="Arial"/>
                <w:color w:val="000000" w:themeColor="text1" w:themeTint="FF" w:themeShade="FF"/>
                <w:sz w:val="20"/>
                <w:szCs w:val="20"/>
              </w:rPr>
              <w:t>(configuración propia de monai.networks.nets.UNet)</w:t>
            </w:r>
          </w:p>
        </w:tc>
        <w:tc>
          <w:tcPr>
            <w:tcW w:w="1417" w:type="dxa"/>
            <w:shd w:val="clear" w:color="auto" w:fill="FCE4D6"/>
            <w:tcMar>
              <w:top w:w="70" w:type="dxa"/>
              <w:left w:w="70" w:type="dxa"/>
              <w:bottom w:w="70" w:type="dxa"/>
              <w:right w:w="70" w:type="dxa"/>
            </w:tcMar>
            <w:vAlign w:val="center"/>
          </w:tcPr>
          <w:p w:rsidR="00914FAA" w:rsidP="06910F8B" w:rsidRDefault="000E7DA8" w14:paraId="134D14C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CNN encoder-decoder con unidades residuales</w:t>
            </w:r>
          </w:p>
        </w:tc>
        <w:tc>
          <w:tcPr>
            <w:tcW w:w="1417" w:type="dxa"/>
            <w:shd w:val="clear" w:color="auto" w:fill="FCE4D6"/>
            <w:tcMar>
              <w:top w:w="70" w:type="dxa"/>
              <w:left w:w="70" w:type="dxa"/>
              <w:bottom w:w="70" w:type="dxa"/>
              <w:right w:w="70" w:type="dxa"/>
            </w:tcMar>
            <w:vAlign w:val="center"/>
          </w:tcPr>
          <w:p w:rsidR="00914FAA" w:rsidP="06910F8B" w:rsidRDefault="000E7DA8" w14:paraId="0F23E93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Sí; cuatro canales de entrada</w:t>
            </w:r>
          </w:p>
        </w:tc>
        <w:tc>
          <w:tcPr>
            <w:tcW w:w="1417" w:type="dxa"/>
            <w:shd w:val="clear" w:color="auto" w:fill="FCE4D6"/>
            <w:tcMar>
              <w:top w:w="70" w:type="dxa"/>
              <w:left w:w="70" w:type="dxa"/>
              <w:bottom w:w="70" w:type="dxa"/>
              <w:right w:w="70" w:type="dxa"/>
            </w:tcMar>
            <w:vAlign w:val="center"/>
          </w:tcPr>
          <w:p w:rsidR="00914FAA" w:rsidP="06910F8B" w:rsidRDefault="000E7DA8" w14:paraId="6FB5EC2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Integración directa y control de una única regla de fusión</w:t>
            </w:r>
          </w:p>
        </w:tc>
        <w:tc>
          <w:tcPr>
            <w:tcW w:w="1417" w:type="dxa"/>
            <w:shd w:val="clear" w:color="auto" w:fill="FCE4D6"/>
            <w:tcMar>
              <w:top w:w="70" w:type="dxa"/>
              <w:left w:w="70" w:type="dxa"/>
              <w:bottom w:w="70" w:type="dxa"/>
              <w:right w:w="70" w:type="dxa"/>
            </w:tcMar>
            <w:vAlign w:val="center"/>
          </w:tcPr>
          <w:p w:rsidR="00914FAA" w:rsidP="06910F8B" w:rsidRDefault="000E7DA8" w14:paraId="31311E22" w14:textId="21583015">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Dependencia MONAI: Apache-2.0; código del TFM</w:t>
            </w:r>
          </w:p>
        </w:tc>
        <w:tc>
          <w:tcPr>
            <w:tcW w:w="1417" w:type="dxa"/>
            <w:shd w:val="clear" w:color="auto" w:fill="FCE4D6"/>
            <w:tcMar>
              <w:top w:w="70" w:type="dxa"/>
              <w:left w:w="70" w:type="dxa"/>
              <w:bottom w:w="70" w:type="dxa"/>
              <w:right w:w="70" w:type="dxa"/>
            </w:tcMar>
            <w:vAlign w:val="center"/>
          </w:tcPr>
          <w:p w:rsidR="00914FAA" w:rsidP="06910F8B" w:rsidRDefault="000E7DA8" w14:paraId="445DDE56"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 xml:space="preserve">Seleccionada como </w:t>
            </w:r>
            <w:r w:rsidRPr="06910F8B" w:rsidR="6A5F4401">
              <w:rPr>
                <w:rFonts w:eastAsia="Arial"/>
                <w:i w:val="1"/>
                <w:iCs w:val="1"/>
                <w:color w:val="000000" w:themeColor="text1" w:themeTint="FF" w:themeShade="FF"/>
                <w:sz w:val="20"/>
                <w:szCs w:val="20"/>
              </w:rPr>
              <w:t>baseline</w:t>
            </w:r>
            <w:r w:rsidRPr="06910F8B" w:rsidR="6A5F4401">
              <w:rPr>
                <w:rFonts w:eastAsia="Arial"/>
                <w:color w:val="000000" w:themeColor="text1" w:themeTint="FF" w:themeShade="FF"/>
                <w:sz w:val="20"/>
                <w:szCs w:val="20"/>
              </w:rPr>
              <w:t xml:space="preserve"> y soporte de la ablación</w:t>
            </w:r>
          </w:p>
        </w:tc>
      </w:tr>
      <w:tr w:rsidR="00914FAA" w:rsidTr="06910F8B" w14:paraId="0143AEAB" w14:textId="77777777">
        <w:trPr>
          <w:cantSplit/>
          <w:jc w:val="center"/>
        </w:trPr>
        <w:tc>
          <w:tcPr>
            <w:tcW w:w="1417" w:type="dxa"/>
            <w:shd w:val="clear" w:color="auto" w:fill="FFFFFF" w:themeFill="background1"/>
            <w:tcMar>
              <w:top w:w="70" w:type="dxa"/>
              <w:left w:w="70" w:type="dxa"/>
              <w:bottom w:w="70" w:type="dxa"/>
              <w:right w:w="70" w:type="dxa"/>
            </w:tcMar>
            <w:vAlign w:val="center"/>
          </w:tcPr>
          <w:p w:rsidR="00914FAA" w:rsidP="06910F8B" w:rsidRDefault="000E7DA8" w14:paraId="603C6361" w14:textId="77777777">
            <w:pPr>
              <w:spacing w:after="0" w:line="240" w:lineRule="auto"/>
              <w:jc w:val="left"/>
              <w:rPr>
                <w:rFonts w:eastAsia="Arial"/>
                <w:color w:val="000000" w:themeColor="text1" w:themeTint="FF" w:themeShade="FF"/>
                <w:sz w:val="20"/>
                <w:szCs w:val="20"/>
              </w:rPr>
            </w:pPr>
            <w:r w:rsidRPr="06910F8B" w:rsidR="6A5F4401">
              <w:rPr>
                <w:rFonts w:eastAsia="Arial"/>
                <w:b w:val="1"/>
                <w:bCs w:val="1"/>
                <w:color w:val="000000" w:themeColor="text1" w:themeTint="FF" w:themeShade="FF"/>
                <w:sz w:val="20"/>
                <w:szCs w:val="20"/>
              </w:rPr>
              <w:t xml:space="preserve">Attention U-Net 3D </w:t>
            </w:r>
            <w:r w:rsidRPr="06910F8B" w:rsidR="6A5F4401">
              <w:rPr>
                <w:rFonts w:eastAsia="Arial"/>
                <w:color w:val="000000" w:themeColor="text1" w:themeTint="FF" w:themeShade="FF"/>
                <w:sz w:val="20"/>
                <w:szCs w:val="20"/>
              </w:rPr>
              <w:t>(monai.networks.nets.AttentionUnet)</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07BD6D3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CNN con compuertas en conexiones de salto</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091281F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Sí; cuatro canales de entrada</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261084B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 xml:space="preserve">Integración directa en el mismo </w:t>
            </w:r>
            <w:r w:rsidRPr="06910F8B" w:rsidR="6A5F4401">
              <w:rPr>
                <w:rFonts w:eastAsia="Arial"/>
                <w:i w:val="1"/>
                <w:iCs w:val="1"/>
                <w:color w:val="000000" w:themeColor="text1" w:themeTint="FF" w:themeShade="FF"/>
                <w:sz w:val="20"/>
                <w:szCs w:val="20"/>
              </w:rPr>
              <w:t>pipeline</w:t>
            </w:r>
            <w:r w:rsidRPr="06910F8B" w:rsidR="6A5F4401">
              <w:rPr>
                <w:rFonts w:eastAsia="Arial"/>
                <w:color w:val="000000" w:themeColor="text1" w:themeTint="FF" w:themeShade="FF"/>
                <w:sz w:val="20"/>
                <w:szCs w:val="20"/>
              </w:rPr>
              <w:t xml:space="preserve"> MONAI</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62BF81B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Apache-2.0</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67DF6C1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Seleccionada como referencia atencional contextual</w:t>
            </w:r>
          </w:p>
        </w:tc>
      </w:tr>
      <w:tr w:rsidR="00914FAA" w:rsidTr="06910F8B" w14:paraId="2128B68C" w14:textId="77777777">
        <w:trPr>
          <w:cantSplit/>
          <w:jc w:val="center"/>
        </w:trPr>
        <w:tc>
          <w:tcPr>
            <w:tcW w:w="1417" w:type="dxa"/>
            <w:shd w:val="clear" w:color="auto" w:fill="FCE4D6"/>
            <w:tcMar>
              <w:top w:w="70" w:type="dxa"/>
              <w:left w:w="70" w:type="dxa"/>
              <w:bottom w:w="70" w:type="dxa"/>
              <w:right w:w="70" w:type="dxa"/>
            </w:tcMar>
            <w:vAlign w:val="center"/>
          </w:tcPr>
          <w:p w:rsidR="00914FAA" w:rsidP="06910F8B" w:rsidRDefault="000E7DA8" w14:paraId="1C907B96" w14:textId="77777777">
            <w:pPr>
              <w:spacing w:after="0" w:line="240" w:lineRule="auto"/>
              <w:jc w:val="left"/>
              <w:rPr>
                <w:rFonts w:eastAsia="Arial"/>
                <w:color w:val="000000" w:themeColor="text1" w:themeTint="FF" w:themeShade="FF"/>
                <w:sz w:val="20"/>
                <w:szCs w:val="20"/>
              </w:rPr>
            </w:pPr>
            <w:r w:rsidRPr="06910F8B" w:rsidR="6A5F4401">
              <w:rPr>
                <w:rFonts w:eastAsia="Arial"/>
                <w:b w:val="1"/>
                <w:bCs w:val="1"/>
                <w:color w:val="000000" w:themeColor="text1" w:themeTint="FF" w:themeShade="FF"/>
                <w:sz w:val="20"/>
                <w:szCs w:val="20"/>
              </w:rPr>
              <w:t>Swin UNETR</w:t>
            </w:r>
            <w:r w:rsidRPr="06910F8B" w:rsidR="6A5F4401">
              <w:rPr>
                <w:rFonts w:eastAsia="Arial"/>
                <w:color w:val="000000" w:themeColor="text1" w:themeTint="FF" w:themeShade="FF"/>
                <w:sz w:val="20"/>
                <w:szCs w:val="20"/>
              </w:rPr>
              <w:t xml:space="preserve"> (monai.networks.nets.SwinUNETR)</w:t>
            </w:r>
          </w:p>
        </w:tc>
        <w:tc>
          <w:tcPr>
            <w:tcW w:w="1417" w:type="dxa"/>
            <w:shd w:val="clear" w:color="auto" w:fill="FCE4D6"/>
            <w:tcMar>
              <w:top w:w="70" w:type="dxa"/>
              <w:left w:w="70" w:type="dxa"/>
              <w:bottom w:w="70" w:type="dxa"/>
              <w:right w:w="70" w:type="dxa"/>
            </w:tcMar>
            <w:vAlign w:val="center"/>
          </w:tcPr>
          <w:p w:rsidR="00914FAA" w:rsidP="06910F8B" w:rsidRDefault="000E7DA8" w14:paraId="6DE1FC7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Híbrido Transformer jerárquico y decodificador convolucional</w:t>
            </w:r>
          </w:p>
        </w:tc>
        <w:tc>
          <w:tcPr>
            <w:tcW w:w="1417" w:type="dxa"/>
            <w:shd w:val="clear" w:color="auto" w:fill="FCE4D6"/>
            <w:tcMar>
              <w:top w:w="70" w:type="dxa"/>
              <w:left w:w="70" w:type="dxa"/>
              <w:bottom w:w="70" w:type="dxa"/>
              <w:right w:w="70" w:type="dxa"/>
            </w:tcMar>
            <w:vAlign w:val="center"/>
          </w:tcPr>
          <w:p w:rsidR="00914FAA" w:rsidP="06910F8B" w:rsidRDefault="000E7DA8" w14:paraId="119E3CF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Sí; cuatro canales de entrada</w:t>
            </w:r>
          </w:p>
        </w:tc>
        <w:tc>
          <w:tcPr>
            <w:tcW w:w="1417" w:type="dxa"/>
            <w:shd w:val="clear" w:color="auto" w:fill="FCE4D6"/>
            <w:tcMar>
              <w:top w:w="70" w:type="dxa"/>
              <w:left w:w="70" w:type="dxa"/>
              <w:bottom w:w="70" w:type="dxa"/>
              <w:right w:w="70" w:type="dxa"/>
            </w:tcMar>
            <w:vAlign w:val="center"/>
          </w:tcPr>
          <w:p w:rsidR="00914FAA" w:rsidP="06910F8B" w:rsidRDefault="000E7DA8" w14:paraId="7E9519DB"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Integración directa, con mayor demanda prevista de memoria y cómputo</w:t>
            </w:r>
          </w:p>
        </w:tc>
        <w:tc>
          <w:tcPr>
            <w:tcW w:w="1417" w:type="dxa"/>
            <w:shd w:val="clear" w:color="auto" w:fill="FCE4D6"/>
            <w:tcMar>
              <w:top w:w="70" w:type="dxa"/>
              <w:left w:w="70" w:type="dxa"/>
              <w:bottom w:w="70" w:type="dxa"/>
              <w:right w:w="70" w:type="dxa"/>
            </w:tcMar>
            <w:vAlign w:val="center"/>
          </w:tcPr>
          <w:p w:rsidR="00914FAA" w:rsidP="06910F8B" w:rsidRDefault="000E7DA8" w14:paraId="390DCFC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Apache-2.0</w:t>
            </w:r>
          </w:p>
        </w:tc>
        <w:tc>
          <w:tcPr>
            <w:tcW w:w="1417" w:type="dxa"/>
            <w:shd w:val="clear" w:color="auto" w:fill="FCE4D6"/>
            <w:tcMar>
              <w:top w:w="70" w:type="dxa"/>
              <w:left w:w="70" w:type="dxa"/>
              <w:bottom w:w="70" w:type="dxa"/>
              <w:right w:w="70" w:type="dxa"/>
            </w:tcMar>
            <w:vAlign w:val="center"/>
          </w:tcPr>
          <w:p w:rsidR="00914FAA" w:rsidP="06910F8B" w:rsidRDefault="000E7DA8" w14:paraId="61E8203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Seleccionada como referencia Transformer contextual</w:t>
            </w:r>
          </w:p>
        </w:tc>
      </w:tr>
      <w:tr w:rsidR="00914FAA" w:rsidTr="06910F8B" w14:paraId="0E8367E0" w14:textId="77777777">
        <w:trPr>
          <w:cantSplit/>
          <w:jc w:val="center"/>
        </w:trPr>
        <w:tc>
          <w:tcPr>
            <w:tcW w:w="1417" w:type="dxa"/>
            <w:shd w:val="clear" w:color="auto" w:fill="FFFFFF" w:themeFill="background1"/>
            <w:tcMar>
              <w:top w:w="70" w:type="dxa"/>
              <w:left w:w="70" w:type="dxa"/>
              <w:bottom w:w="70" w:type="dxa"/>
              <w:right w:w="70" w:type="dxa"/>
            </w:tcMar>
            <w:vAlign w:val="center"/>
          </w:tcPr>
          <w:p w:rsidR="00914FAA" w:rsidP="06910F8B" w:rsidRDefault="000E7DA8" w14:paraId="31EFE729" w14:textId="77777777">
            <w:pPr>
              <w:spacing w:after="0" w:line="240" w:lineRule="auto"/>
              <w:jc w:val="left"/>
              <w:rPr>
                <w:rFonts w:eastAsia="Arial"/>
                <w:color w:val="000000" w:themeColor="text1" w:themeTint="FF" w:themeShade="FF"/>
                <w:sz w:val="20"/>
                <w:szCs w:val="20"/>
              </w:rPr>
            </w:pPr>
            <w:r w:rsidRPr="06910F8B" w:rsidR="6A5F4401">
              <w:rPr>
                <w:rFonts w:eastAsia="Arial"/>
                <w:b w:val="1"/>
                <w:bCs w:val="1"/>
                <w:color w:val="000000" w:themeColor="text1" w:themeTint="FF" w:themeShade="FF"/>
                <w:sz w:val="20"/>
                <w:szCs w:val="20"/>
              </w:rPr>
              <w:t>nnU-Net v2</w:t>
            </w:r>
            <w:r w:rsidRPr="06910F8B" w:rsidR="6A5F4401">
              <w:rPr>
                <w:rFonts w:eastAsia="Arial"/>
                <w:color w:val="000000" w:themeColor="text1" w:themeTint="FF" w:themeShade="FF"/>
                <w:sz w:val="20"/>
                <w:szCs w:val="20"/>
              </w:rPr>
              <w:t xml:space="preserve"> (</w:t>
            </w:r>
            <w:hyperlink r:id="Rdb6af17dc4504193">
              <w:r w:rsidRPr="06910F8B" w:rsidR="6A5F4401">
                <w:rPr>
                  <w:sz w:val="20"/>
                  <w:szCs w:val="20"/>
                </w:rPr>
                <w:t>MIC-DKFZ/nnUNet</w:t>
              </w:r>
            </w:hyperlink>
            <w:r w:rsidRPr="06910F8B" w:rsidR="6A5F4401">
              <w:rPr>
                <w:rFonts w:eastAsia="Arial"/>
                <w:color w:val="000000" w:themeColor="text1" w:themeTint="FF" w:themeShade="FF"/>
                <w:sz w:val="20"/>
                <w:szCs w:val="20"/>
              </w:rPr>
              <w:t>)</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5B83E29D" w14:textId="77777777">
            <w:pPr>
              <w:spacing w:after="0" w:line="240" w:lineRule="auto"/>
              <w:jc w:val="left"/>
              <w:rPr>
                <w:rFonts w:eastAsia="Arial"/>
                <w:color w:val="000000" w:themeColor="text1" w:themeTint="FF" w:themeShade="FF"/>
                <w:sz w:val="20"/>
                <w:szCs w:val="20"/>
              </w:rPr>
            </w:pPr>
            <w:r w:rsidRPr="06910F8B" w:rsidR="6A5F4401">
              <w:rPr>
                <w:rFonts w:eastAsia="Arial"/>
                <w:i w:val="1"/>
                <w:iCs w:val="1"/>
                <w:color w:val="000000" w:themeColor="text1" w:themeTint="FF" w:themeShade="FF"/>
                <w:sz w:val="20"/>
                <w:szCs w:val="20"/>
              </w:rPr>
              <w:t>Pipeline</w:t>
            </w:r>
            <w:r w:rsidRPr="06910F8B" w:rsidR="6A5F4401">
              <w:rPr>
                <w:rFonts w:eastAsia="Arial"/>
                <w:color w:val="000000" w:themeColor="text1" w:themeTint="FF" w:themeShade="FF"/>
                <w:sz w:val="20"/>
                <w:szCs w:val="20"/>
              </w:rPr>
              <w:t xml:space="preserve"> auto-configurable</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6D998F4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Sí; configuración 3D y múltiples canales</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371991D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Flujo externo propio; requiere conversión de datos y conserva su planificación automática</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6AFDE92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Apache-2.0</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29E698D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 xml:space="preserve">Seleccionado como </w:t>
            </w:r>
            <w:r w:rsidRPr="06910F8B" w:rsidR="6A5F4401">
              <w:rPr>
                <w:rFonts w:eastAsia="Arial"/>
                <w:i w:val="1"/>
                <w:iCs w:val="1"/>
                <w:color w:val="000000" w:themeColor="text1" w:themeTint="FF" w:themeShade="FF"/>
                <w:sz w:val="20"/>
                <w:szCs w:val="20"/>
              </w:rPr>
              <w:t>baseline</w:t>
            </w:r>
            <w:r w:rsidRPr="06910F8B" w:rsidR="6A5F4401">
              <w:rPr>
                <w:rFonts w:eastAsia="Arial"/>
                <w:color w:val="000000" w:themeColor="text1" w:themeTint="FF" w:themeShade="FF"/>
                <w:sz w:val="20"/>
                <w:szCs w:val="20"/>
              </w:rPr>
              <w:t xml:space="preserve"> externo fuerte</w:t>
            </w:r>
          </w:p>
        </w:tc>
      </w:tr>
      <w:tr w:rsidR="00914FAA" w:rsidTr="06910F8B" w14:paraId="5C1B8ED1" w14:textId="77777777">
        <w:trPr>
          <w:cantSplit/>
          <w:jc w:val="center"/>
        </w:trPr>
        <w:tc>
          <w:tcPr>
            <w:tcW w:w="1417" w:type="dxa"/>
            <w:shd w:val="clear" w:color="auto" w:fill="FCE4D6"/>
            <w:tcMar>
              <w:top w:w="70" w:type="dxa"/>
              <w:left w:w="70" w:type="dxa"/>
              <w:bottom w:w="70" w:type="dxa"/>
              <w:right w:w="70" w:type="dxa"/>
            </w:tcMar>
            <w:vAlign w:val="center"/>
          </w:tcPr>
          <w:p w:rsidR="00914FAA" w:rsidP="06910F8B" w:rsidRDefault="000E7DA8" w14:paraId="6234AD14"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b w:val="1"/>
                <w:bCs w:val="1"/>
                <w:color w:val="000000" w:themeColor="text1" w:themeTint="FF" w:themeShade="FF"/>
                <w:sz w:val="20"/>
                <w:szCs w:val="20"/>
              </w:rPr>
              <w:t xml:space="preserve">TransBTS </w:t>
            </w:r>
            <w:r w:rsidRPr="06910F8B" w:rsidR="6A5F4401">
              <w:rPr>
                <w:rFonts w:eastAsia="Arial"/>
                <w:color w:val="000000" w:themeColor="text1" w:themeTint="FF" w:themeShade="FF"/>
                <w:sz w:val="20"/>
                <w:szCs w:val="20"/>
              </w:rPr>
              <w:t>(</w:t>
            </w:r>
            <w:hyperlink r:id="R192708830a4c48f7">
              <w:r w:rsidRPr="06910F8B" w:rsidR="6A5F4401">
                <w:rPr>
                  <w:sz w:val="20"/>
                  <w:szCs w:val="20"/>
                </w:rPr>
                <w:t>Rubics-Xuan/TransBTS</w:t>
              </w:r>
            </w:hyperlink>
            <w:r w:rsidRPr="06910F8B" w:rsidR="6A5F4401">
              <w:rPr>
                <w:rFonts w:eastAsia="Arial"/>
                <w:color w:val="000000" w:themeColor="text1" w:themeTint="FF" w:themeShade="FF"/>
                <w:sz w:val="20"/>
                <w:szCs w:val="20"/>
              </w:rPr>
              <w:t>)</w:t>
            </w:r>
          </w:p>
        </w:tc>
        <w:tc>
          <w:tcPr>
            <w:tcW w:w="1417" w:type="dxa"/>
            <w:shd w:val="clear" w:color="auto" w:fill="FCE4D6"/>
            <w:tcMar>
              <w:top w:w="70" w:type="dxa"/>
              <w:left w:w="70" w:type="dxa"/>
              <w:bottom w:w="70" w:type="dxa"/>
              <w:right w:w="70" w:type="dxa"/>
            </w:tcMar>
            <w:vAlign w:val="center"/>
          </w:tcPr>
          <w:p w:rsidR="00914FAA" w:rsidP="06910F8B" w:rsidRDefault="000E7DA8" w14:paraId="19E0B4A8"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Arquitectura híbrida CNN-Transformer para segmentación multimodal</w:t>
            </w:r>
          </w:p>
        </w:tc>
        <w:tc>
          <w:tcPr>
            <w:tcW w:w="1417" w:type="dxa"/>
            <w:shd w:val="clear" w:color="auto" w:fill="FCE4D6"/>
            <w:tcMar>
              <w:top w:w="70" w:type="dxa"/>
              <w:left w:w="70" w:type="dxa"/>
              <w:bottom w:w="70" w:type="dxa"/>
              <w:right w:w="70" w:type="dxa"/>
            </w:tcMar>
            <w:vAlign w:val="center"/>
          </w:tcPr>
          <w:p w:rsidR="00914FAA" w:rsidP="06910F8B" w:rsidRDefault="000E7DA8" w14:paraId="5C7F4315"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Sí; diseñada para volúmenes MRI multimodales</w:t>
            </w:r>
          </w:p>
        </w:tc>
        <w:tc>
          <w:tcPr>
            <w:tcW w:w="1417" w:type="dxa"/>
            <w:shd w:val="clear" w:color="auto" w:fill="FCE4D6"/>
            <w:tcMar>
              <w:top w:w="70" w:type="dxa"/>
              <w:left w:w="70" w:type="dxa"/>
              <w:bottom w:w="70" w:type="dxa"/>
              <w:right w:w="70" w:type="dxa"/>
            </w:tcMar>
            <w:vAlign w:val="center"/>
          </w:tcPr>
          <w:p w:rsidR="00914FAA" w:rsidP="06910F8B" w:rsidRDefault="000E7DA8" w14:paraId="193D635C"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Repositorio oficial con entorno PyTorch independiente y adaptación manual al protocolo actual</w:t>
            </w:r>
          </w:p>
        </w:tc>
        <w:tc>
          <w:tcPr>
            <w:tcW w:w="1417" w:type="dxa"/>
            <w:shd w:val="clear" w:color="auto" w:fill="FCE4D6"/>
            <w:tcMar>
              <w:top w:w="70" w:type="dxa"/>
              <w:left w:w="70" w:type="dxa"/>
              <w:bottom w:w="70" w:type="dxa"/>
              <w:right w:w="70" w:type="dxa"/>
            </w:tcMar>
            <w:vAlign w:val="center"/>
          </w:tcPr>
          <w:p w:rsidR="00914FAA" w:rsidP="06910F8B" w:rsidRDefault="000E7DA8" w14:paraId="63197505"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Apache-2.0</w:t>
            </w:r>
          </w:p>
        </w:tc>
        <w:tc>
          <w:tcPr>
            <w:tcW w:w="1417" w:type="dxa"/>
            <w:shd w:val="clear" w:color="auto" w:fill="FCE4D6"/>
            <w:tcMar>
              <w:top w:w="70" w:type="dxa"/>
              <w:left w:w="70" w:type="dxa"/>
              <w:bottom w:w="70" w:type="dxa"/>
              <w:right w:w="70" w:type="dxa"/>
            </w:tcMar>
            <w:vAlign w:val="center"/>
          </w:tcPr>
          <w:p w:rsidR="00914FAA" w:rsidP="06910F8B" w:rsidRDefault="000E7DA8" w14:paraId="62AB2E49"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No ejecutada: el coste de portado añadía otra variable sin reforzar la ablación principal</w:t>
            </w:r>
          </w:p>
        </w:tc>
      </w:tr>
    </w:tbl>
    <w:p w:rsidR="00914FAA" w:rsidRDefault="000E7DA8" w14:paraId="2842E223" w14:textId="77777777">
      <w:pPr>
        <w:pStyle w:val="Descripcin"/>
        <w:keepLines w:val="1"/>
      </w:pPr>
      <w:bookmarkStart w:name="_Toc235507360" w:id="48"/>
      <w:r w:rsidRPr="06910F8B" w:rsidR="6A5F4401">
        <w:rPr>
          <w:b w:val="1"/>
          <w:bCs w:val="1"/>
        </w:rPr>
        <w:t xml:space="preserve">Tabla </w:t>
      </w:r>
      <w:r>
        <w:fldChar w:fldCharType="begin"/>
      </w:r>
      <w:r>
        <w:instrText xml:space="preserve"> SEQ Tabla \* ARABIC </w:instrText>
      </w:r>
      <w:r>
        <w:fldChar w:fldCharType="separate"/>
      </w:r>
      <w:r w:rsidRPr="06910F8B" w:rsidR="6A5F4401">
        <w:rPr>
          <w:b w:val="1"/>
          <w:bCs w:val="1"/>
        </w:rPr>
        <w:t>2</w:t>
      </w:r>
      <w:r>
        <w:fldChar w:fldCharType="end"/>
      </w:r>
      <w:r w:rsidRPr="06910F8B" w:rsidR="6A5F4401">
        <w:rPr>
          <w:b w:val="1"/>
          <w:bCs w:val="1"/>
        </w:rPr>
        <w:t xml:space="preserve">. </w:t>
      </w:r>
      <w:r w:rsidR="6A5F4401">
        <w:rPr/>
        <w:t>Comparación de implementaciones y repositorios relevantes para el TFM.</w:t>
      </w:r>
      <w:bookmarkEnd w:id="48"/>
    </w:p>
    <w:p w:rsidR="06910F8B" w:rsidP="06910F8B" w:rsidRDefault="06910F8B" w14:paraId="727A52EB" w14:textId="248255C6">
      <w:pPr>
        <w:pStyle w:val="Normal"/>
        <w:keepLines w:val="1"/>
      </w:pPr>
    </w:p>
    <w:p w:rsidR="00914FAA" w:rsidRDefault="000E7DA8" w14:paraId="28EA1602" w14:textId="77777777">
      <w:commentRangeStart w:id="20"/>
      <w:r w:rsidR="6A5F4401">
        <w:rPr/>
        <w:t>La tabla muestra que las cuatro configuraciones de fusión se apoyan en una única implementación residual dentro de MONAI, condición necesaria para atribuir sus diferencias a la regla de entrada. Attention U-Net y Swin UNETR amplían el contexto arquitectónico usando la misma infraestructura, mientras nnU-Net conserva su flujo externo porque su auto-configuración forma parte del propio método. TransBTS aporta una referencia pertinente para el estado del arte, pero integrarla habría mezclado el estudio de fusión con un cambio simultáneo de codificador y de entorno. Esta decisión reduce amplitud experimental, pero fortalece la validez interna de la comparación principal.</w:t>
      </w:r>
      <w:commentRangeEnd w:id="20"/>
      <w:r>
        <w:rPr>
          <w:rStyle w:val="CommentReference"/>
        </w:rPr>
        <w:commentReference w:id="20"/>
      </w:r>
    </w:p>
    <w:p w:rsidR="06910F8B" w:rsidRDefault="06910F8B" w14:paraId="37B0ABE0" w14:textId="2CD7CA4F"/>
    <w:p w:rsidR="00914FAA" w:rsidRDefault="000E7DA8" w14:paraId="375B1488" w14:textId="77777777">
      <w:pPr>
        <w:pStyle w:val="Ttulo2"/>
      </w:pPr>
      <w:bookmarkStart w:name="_Toc1184466766" w:id="49"/>
      <w:bookmarkStart w:name="posicionamiento-del-tfm" w:id="50"/>
      <w:bookmarkEnd w:id="45"/>
      <w:r>
        <w:t>2.8. Posicionamiento del TFM</w:t>
      </w:r>
      <w:bookmarkEnd w:id="49"/>
    </w:p>
    <w:p w:rsidR="00914FAA" w:rsidRDefault="000E7DA8" w14:paraId="3C2F7C06" w14:textId="77777777">
      <w:commentRangeStart w:id="21"/>
      <w:r>
        <w:t xml:space="preserve">El estado del arte presenta tres niveles de decisión relacionados pero independientes. El primero es la </w:t>
      </w:r>
      <w:r>
        <w:rPr>
          <w:b/>
          <w:bCs/>
        </w:rPr>
        <w:t>arquitectura de segmentación</w:t>
      </w:r>
      <w:r>
        <w:t xml:space="preserve">, desde U-Net 3D y sus variantes residuales o atencionales hasta nnU-Net y los modelos Transformer. El segundo es la </w:t>
      </w:r>
      <w:r>
        <w:rPr>
          <w:b/>
          <w:bCs/>
        </w:rPr>
        <w:t>fusión multimodal</w:t>
      </w:r>
      <w:r>
        <w:t xml:space="preserve">, definida por una etapa y una regla de combinación. El tercero es el </w:t>
      </w:r>
      <w:r>
        <w:rPr>
          <w:b/>
          <w:bCs/>
        </w:rPr>
        <w:t>protocolo de evaluación</w:t>
      </w:r>
      <w:r>
        <w:t>, que debe medir ET, TC y WT con Dice y HD95, declarar sus convenciones y acompañar la exactitud con coste computacional.</w:t>
      </w:r>
      <w:commentRangeEnd w:id="21"/>
      <w:r>
        <w:rPr>
          <w:rStyle w:val="CommentReference"/>
        </w:rPr>
        <w:commentReference w:id="21"/>
      </w:r>
    </w:p>
    <w:p w:rsidR="00914FAA" w:rsidRDefault="000E7DA8" w14:paraId="04B5CB20" w14:textId="1948261A">
      <w:r w:rsidR="6A5F4401">
        <w:rPr/>
        <w:t xml:space="preserve">El TFM se sitúa en la intersección de esos tres niveles con una pregunta intencionadamente limitada. No pretende demostrar que la atención sea superior en general ni competir de forma directa con la clasificación oficial de </w:t>
      </w:r>
      <w:r w:rsidR="6A5F4401">
        <w:rPr/>
        <w:t>BraTS</w:t>
      </w:r>
      <w:r w:rsidR="6A5F4401">
        <w:rPr/>
        <w:t xml:space="preserve">. Su contribución consiste en comparar concatenación, ponderación global estática y dos compuertas condicionadas por estadísticas de la entrada antes del mismo codificador residual, repetir la comparación con varias semillas y documentar el coste añadido. Las </w:t>
      </w:r>
      <w:r w:rsidR="6A5F4401">
        <w:rPr/>
        <w:t xml:space="preserve">arquitecturas </w:t>
      </w:r>
      <w:r w:rsidR="6A5F4401">
        <w:rPr/>
        <w:t>Attention</w:t>
      </w:r>
      <w:r w:rsidR="6A5F4401">
        <w:rPr/>
        <w:t xml:space="preserve"> U-Net, Swin UNETR y </w:t>
      </w:r>
      <w:r w:rsidR="6A5F4401">
        <w:rPr/>
        <w:t>nnU</w:t>
      </w:r>
      <w:r w:rsidR="6A5F4401">
        <w:rPr/>
        <w:t>-Net proporcionan contexto, no sustituyen ese contraste controlado. De este modo, tanto un resultado positivo como uno negativo responde</w:t>
      </w:r>
      <w:r w:rsidR="74A58DB0">
        <w:rPr/>
        <w:t>n</w:t>
      </w:r>
      <w:r w:rsidR="6A5F4401">
        <w:rPr/>
        <w:t xml:space="preserve"> al objetivo científico</w:t>
      </w:r>
      <w:r w:rsidR="00FBF9FB">
        <w:rPr/>
        <w:t xml:space="preserve"> de</w:t>
      </w:r>
      <w:r w:rsidR="6A5F4401">
        <w:rPr/>
        <w:t xml:space="preserve"> determinar si la adaptación propuesta aporta una mejora consistente y a qué coste bajo el protocolo definido.</w:t>
      </w:r>
    </w:p>
    <w:p w:rsidR="00914FAA" w:rsidRDefault="000E7DA8" w14:paraId="4D3E2F0A" w14:textId="77777777">
      <w:pPr>
        <w:pStyle w:val="Ttulo1"/>
        <w:pageBreakBefore/>
      </w:pPr>
      <w:bookmarkStart w:name="_Toc450201048" w:id="51"/>
      <w:bookmarkStart w:name="metodología" w:id="52"/>
      <w:bookmarkEnd w:id="47"/>
      <w:bookmarkEnd w:id="50"/>
      <w:r>
        <w:lastRenderedPageBreak/>
        <w:t>3. Metodología</w:t>
      </w:r>
      <w:bookmarkEnd w:id="51"/>
    </w:p>
    <w:p w:rsidR="00914FAA" w:rsidRDefault="000E7DA8" w14:paraId="659F771C" w14:textId="77777777">
      <w:commentRangeStart w:id="22"/>
      <w:r w:rsidR="6A5F4401">
        <w:rPr/>
        <w:t>Este capítulo presenta el enfoque metodológico seguido para desarrollar el trabajo. La metodología se organiza en cinco fases y describe, a un nivel general, qué actividades se realizaron y cómo se relacionaron entre sí. El detalle técnico de las decisiones, adaptaciones e implementaciones se reserva para el Capítulo 4, que reproduce la misma estructura por fases.</w:t>
      </w:r>
      <w:commentRangeEnd w:id="22"/>
      <w:r>
        <w:rPr>
          <w:rStyle w:val="CommentReference"/>
        </w:rPr>
        <w:commentReference w:id="22"/>
      </w:r>
    </w:p>
    <w:p w:rsidR="06910F8B" w:rsidRDefault="06910F8B" w14:paraId="06E490BD" w14:textId="5EBD45F0"/>
    <w:p w:rsidR="00914FAA" w:rsidRDefault="000E7DA8" w14:paraId="31A95D44" w14:textId="77777777">
      <w:pPr>
        <w:pStyle w:val="Ttulo2"/>
      </w:pPr>
      <w:bookmarkStart w:name="_Toc884400731" w:id="53"/>
      <w:bookmarkStart w:name="enfoque-metodológico" w:id="54"/>
      <w:r>
        <w:t>3.1. Enfoque metodológico</w:t>
      </w:r>
      <w:bookmarkEnd w:id="53"/>
    </w:p>
    <w:p w:rsidR="00914FAA" w:rsidRDefault="000E7DA8" w14:paraId="496BC95A" w14:textId="77777777">
      <w:commentRangeStart w:id="23"/>
      <w:r>
        <w:t xml:space="preserve">El trabajo no se ha guiado por una metodología estándar de gestión de proyectos, sino por una </w:t>
      </w:r>
      <w:r>
        <w:rPr>
          <w:b/>
          <w:bCs/>
        </w:rPr>
        <w:t xml:space="preserve">metodología </w:t>
      </w:r>
      <w:r>
        <w:rPr>
          <w:b/>
          <w:bCs/>
          <w:i/>
          <w:iCs/>
        </w:rPr>
        <w:t>ad hoc</w:t>
      </w:r>
      <w:r>
        <w:rPr>
          <w:b/>
          <w:bCs/>
        </w:rPr>
        <w:t xml:space="preserve"> de carácter incremental</w:t>
      </w:r>
      <w:r>
        <w:t xml:space="preserve">, definida para un proyecto de investigación experimental en aprendizaje profundo aplicado a imagen médica. Cada fase incorporó comprobaciones antes de comprometer nuevos recursos de cómputo: primero se verificaron los datos y las particiones; después, el funcionamiento del </w:t>
      </w:r>
      <w:r>
        <w:rPr>
          <w:i/>
          <w:iCs/>
        </w:rPr>
        <w:t>pipeline</w:t>
      </w:r>
      <w:r>
        <w:t xml:space="preserve"> y de los modelos; y, finalmente, el protocolo de entrenamiento, inferencia y evaluación.</w:t>
      </w:r>
      <w:commentRangeEnd w:id="23"/>
      <w:r>
        <w:rPr>
          <w:rStyle w:val="CommentReference"/>
        </w:rPr>
        <w:commentReference w:id="23"/>
      </w:r>
    </w:p>
    <w:p w:rsidR="00914FAA" w:rsidRDefault="000E7DA8" w14:paraId="47185EC2" w14:textId="77777777">
      <w:r w:rsidR="6A5F4401">
        <w:rPr/>
        <w:t xml:space="preserve">La metodología se organiza en </w:t>
      </w:r>
      <w:r w:rsidRPr="06910F8B" w:rsidR="6A5F4401">
        <w:rPr>
          <w:b w:val="1"/>
          <w:bCs w:val="1"/>
        </w:rPr>
        <w:t>cinco fases</w:t>
      </w:r>
      <w:r w:rsidR="6A5F4401">
        <w:rPr/>
        <w:t xml:space="preserve">, desde la comprensión del problema hasta el análisis de los resultados. Aunque existe una secuencia principal, las fases admiten realimentación. Por ejemplo, los primeros experimentos revelaron limitaciones de entrada/salida y del mecanismo de compuerta, lo que motivó adaptaciones posteriores del </w:t>
      </w:r>
      <w:r w:rsidRPr="06910F8B" w:rsidR="6A5F4401">
        <w:rPr>
          <w:i w:val="1"/>
          <w:iCs w:val="1"/>
        </w:rPr>
        <w:t>pipeline</w:t>
      </w:r>
      <w:r w:rsidR="6A5F4401">
        <w:rPr/>
        <w:t xml:space="preserve"> y nuevas variantes de fusión. El desarrollo técnico de cada fase se recoge en la sección homóloga del Capítulo 4.</w:t>
      </w:r>
    </w:p>
    <w:p w:rsidR="06910F8B" w:rsidRDefault="06910F8B" w14:paraId="332190E8" w14:textId="1244232D"/>
    <w:p w:rsidR="00914FAA" w:rsidRDefault="000E7DA8" w14:paraId="0CF802E2" w14:textId="77777777">
      <w:pPr>
        <w:pStyle w:val="Ttulo2"/>
      </w:pPr>
      <w:bookmarkStart w:name="_Toc1280949951" w:id="55"/>
      <w:bookmarkStart w:name="descripción-general-de-las-fases" w:id="56"/>
      <w:bookmarkEnd w:id="52"/>
      <w:r>
        <w:t>3.2. Descripción general de las fases</w:t>
      </w:r>
      <w:bookmarkEnd w:id="55"/>
    </w:p>
    <w:p w:rsidR="00914FAA" w:rsidRDefault="000E7DA8" w14:paraId="219359BE" w14:textId="77777777">
      <w:commentRangeStart w:id="24"/>
      <w:r>
        <w:rPr>
          <w:b/>
          <w:bCs/>
        </w:rPr>
        <w:t>Fase 1 — Familiarización y revisión del estado del arte.</w:t>
      </w:r>
      <w:r>
        <w:t xml:space="preserve"> Comprensión del problema clínico de la segmentación de gliomas en resonancia magnética multimodal, revisión de arquitecturas relevantes (U-Net y variantes, Transformers y nnU-Net) y selección justificada del conjunto de datos, del marco de trabajo y de las familias de modelos. Esta fase fija el alcance y la pregunta de investigación.</w:t>
      </w:r>
      <w:commentRangeEnd w:id="24"/>
      <w:r>
        <w:rPr>
          <w:rStyle w:val="CommentReference"/>
        </w:rPr>
        <w:commentReference w:id="24"/>
      </w:r>
    </w:p>
    <w:p w:rsidR="00914FAA" w:rsidRDefault="000E7DA8" w14:paraId="2CE685FF" w14:textId="62E4D9FD">
      <w:r w:rsidRPr="06910F8B" w:rsidR="6A5F4401">
        <w:rPr>
          <w:b w:val="1"/>
          <w:bCs w:val="1"/>
        </w:rPr>
        <w:t>Fase 2 — Análisis y preparación de los datos.</w:t>
      </w:r>
      <w:r w:rsidR="6A5F4401">
        <w:rPr/>
        <w:t xml:space="preserve"> Inventario del conjunto de datos, controles de calidad para verificar la integridad de los estudios y sus modalidades, y generación de particiones estratificadas y reproducibles de entrenamiento, validación y test. La partición se definió por estudio de imagen, no por sujeto. Por ello, los identificadores completos no se repiten entre particiones, pero un mismo sujeto puede aportar estudios a más de una de ellas</w:t>
      </w:r>
      <w:r w:rsidR="2884571C">
        <w:rPr/>
        <w:t>. E</w:t>
      </w:r>
      <w:r w:rsidR="6A5F4401">
        <w:rPr/>
        <w:t>sta circunstancia se tiene en cuenta al interpretar la generalización.</w:t>
      </w:r>
    </w:p>
    <w:p w:rsidR="00914FAA" w:rsidRDefault="000E7DA8" w14:paraId="22AF556A" w14:textId="77777777">
      <w:r>
        <w:rPr>
          <w:b/>
          <w:bCs/>
        </w:rPr>
        <w:t xml:space="preserve">Fase 3 — Diseño e implementación del </w:t>
      </w:r>
      <w:r>
        <w:rPr>
          <w:b/>
          <w:bCs/>
          <w:i/>
          <w:iCs/>
        </w:rPr>
        <w:t>pipeline</w:t>
      </w:r>
      <w:r>
        <w:rPr>
          <w:b/>
          <w:bCs/>
        </w:rPr>
        <w:t>.</w:t>
      </w:r>
      <w:r>
        <w:t xml:space="preserve"> Construcción del sistema experimental: entorno de cómputo, organización del código, preprocesamiento y aumento de datos, formulación del problema de segmentación, familias de modelos y mecanismos de fusión multimodal. Esta fase incluyó las adaptaciones necesarias para </w:t>
      </w:r>
      <w:r>
        <w:lastRenderedPageBreak/>
        <w:t>ejecutar el mismo flujo MONAI con varias arquitecturas y para preparar nnU-Net como referencia externa.</w:t>
      </w:r>
    </w:p>
    <w:p w:rsidR="00914FAA" w:rsidRDefault="000E7DA8" w14:paraId="3B6C8BD0" w14:textId="261BDC42">
      <w:r w:rsidRPr="06910F8B" w:rsidR="6A5F4401">
        <w:rPr>
          <w:b w:val="1"/>
          <w:bCs w:val="1"/>
        </w:rPr>
        <w:t>Fase 4 — Experimentación.</w:t>
      </w:r>
      <w:r w:rsidR="6A5F4401">
        <w:rPr/>
        <w:t xml:space="preserve"> Entrenamiento de los modelos y ejecución del estudio de ablación de las estrategias de fusión. La comparación causal se restringe a las cuatro estrategias construidas sobre la misma Residual U-Net 3D, que comparten datos, arquitectura, optimización y protocolo de inferencia. Las configuraciones MONAI se repitieron con tres semillas</w:t>
      </w:r>
      <w:r w:rsidR="3FEBE7E5">
        <w:rPr/>
        <w:t>. A su vez,</w:t>
      </w:r>
      <w:r w:rsidR="6A5F4401">
        <w:rPr/>
        <w:t xml:space="preserve"> </w:t>
      </w:r>
      <w:r w:rsidR="6A5F4401">
        <w:rPr/>
        <w:t>nnU</w:t>
      </w:r>
      <w:r w:rsidR="6A5F4401">
        <w:rPr/>
        <w:t>-Net se ejecutó una sola vez con su propio protocolo y se empleó como referencia contextual.</w:t>
      </w:r>
    </w:p>
    <w:p w:rsidR="00914FAA" w:rsidRDefault="000E7DA8" w14:paraId="4E3C8F44" w14:textId="77777777">
      <w:r>
        <w:rPr>
          <w:b/>
          <w:bCs/>
        </w:rPr>
        <w:t>Fase 5 — Evaluación y análisis de resultados.</w:t>
      </w:r>
      <w:r>
        <w:t xml:space="preserve"> Inferencia sobre la partición de test, cálculo de Dice y HD95 por región, análisis de la variabilidad entre semillas y estudio de la huella computacional con los registros disponibles. La comparación de las estrategias de fusión es la principal del trabajo; la comparación entre familias de modelos es descriptiva debido a sus diferencias de entorno, inferencia y entrenamiento.</w:t>
      </w:r>
    </w:p>
    <w:p w:rsidR="00914FAA" w:rsidRDefault="000E7DA8" w14:paraId="04510257" w14:textId="77777777">
      <w:commentRangeStart w:id="25"/>
      <w:r>
        <w:t>La Tabla 3 resume las cinco fases y las actividades que delimitan cada una.</w:t>
      </w:r>
      <w:commentRangeEnd w:id="25"/>
      <w:r>
        <w:rPr>
          <w:rStyle w:val="CommentReference"/>
        </w:rPr>
        <w:commentReference w:id="25"/>
      </w:r>
    </w:p>
    <w:tbl>
      <w:tblPr>
        <w:tblStyle w:val="Tablaconcuadrcula"/>
        <w:tblW w:w="8504" w:type="dxa"/>
        <w:jc w:val="center"/>
        <w:tblBorders>
          <w:top w:val="single" w:color="BFBFBF" w:themeColor="background1" w:themeShade="BF" w:sz="5" w:space="0"/>
          <w:left w:val="single" w:color="BFBFBF" w:themeColor="background1" w:themeShade="BF" w:sz="5" w:space="0"/>
          <w:bottom w:val="single" w:color="BFBFBF" w:themeColor="background1" w:themeShade="BF" w:sz="5" w:space="0"/>
          <w:right w:val="single" w:color="BFBFBF" w:themeColor="background1" w:themeShade="BF" w:sz="5" w:space="0"/>
          <w:insideH w:val="single" w:color="BFBFBF" w:themeColor="background1" w:themeShade="BF" w:sz="5" w:space="0"/>
          <w:insideV w:val="single" w:color="BFBFBF" w:themeColor="background1" w:themeShade="BF" w:sz="5" w:space="0"/>
        </w:tblBorders>
        <w:tblLayout w:type="fixed"/>
        <w:tblLook w:val="0020" w:firstRow="1" w:lastRow="0" w:firstColumn="0" w:lastColumn="0" w:noHBand="0" w:noVBand="0"/>
      </w:tblPr>
      <w:tblGrid>
        <w:gridCol w:w="1566"/>
        <w:gridCol w:w="3731"/>
        <w:gridCol w:w="3207"/>
      </w:tblGrid>
      <w:tr w:rsidR="00914FAA" w:rsidTr="06910F8B" w14:paraId="638C11CB" w14:textId="77777777">
        <w:trPr>
          <w:cantSplit/>
          <w:tblHeader/>
        </w:trPr>
        <w:tc>
          <w:tcPr>
            <w:tcW w:w="1566" w:type="dxa"/>
            <w:shd w:val="clear" w:color="auto" w:fill="ED7D31"/>
            <w:tcMar>
              <w:top w:w="70" w:type="dxa"/>
              <w:left w:w="70" w:type="dxa"/>
              <w:bottom w:w="70" w:type="dxa"/>
              <w:right w:w="70" w:type="dxa"/>
            </w:tcMar>
            <w:vAlign w:val="center"/>
          </w:tcPr>
          <w:p w:rsidR="00914FAA" w:rsidP="06910F8B" w:rsidRDefault="000E7DA8" w14:paraId="32D386E4"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Fase</w:t>
            </w:r>
          </w:p>
        </w:tc>
        <w:tc>
          <w:tcPr>
            <w:tcW w:w="3731" w:type="dxa"/>
            <w:shd w:val="clear" w:color="auto" w:fill="ED7D31"/>
            <w:tcMar>
              <w:top w:w="70" w:type="dxa"/>
              <w:left w:w="70" w:type="dxa"/>
              <w:bottom w:w="70" w:type="dxa"/>
              <w:right w:w="70" w:type="dxa"/>
            </w:tcMar>
            <w:vAlign w:val="center"/>
          </w:tcPr>
          <w:p w:rsidR="00914FAA" w:rsidP="06910F8B" w:rsidRDefault="000E7DA8" w14:paraId="77EAB703"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Denominación</w:t>
            </w:r>
          </w:p>
        </w:tc>
        <w:tc>
          <w:tcPr>
            <w:tcW w:w="3207" w:type="dxa"/>
            <w:shd w:val="clear" w:color="auto" w:fill="ED7D31"/>
            <w:tcMar>
              <w:top w:w="70" w:type="dxa"/>
              <w:left w:w="70" w:type="dxa"/>
              <w:bottom w:w="70" w:type="dxa"/>
              <w:right w:w="70" w:type="dxa"/>
            </w:tcMar>
            <w:vAlign w:val="center"/>
          </w:tcPr>
          <w:p w:rsidR="00914FAA" w:rsidP="06910F8B" w:rsidRDefault="000E7DA8" w14:paraId="027BD44C"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Actividades principales</w:t>
            </w:r>
          </w:p>
        </w:tc>
      </w:tr>
      <w:tr w:rsidR="00914FAA" w:rsidTr="06910F8B" w14:paraId="4AE4F056" w14:textId="77777777">
        <w:trPr>
          <w:cantSplit/>
        </w:trPr>
        <w:tc>
          <w:tcPr>
            <w:tcW w:w="1566" w:type="dxa"/>
            <w:shd w:val="clear" w:color="auto" w:fill="FFFFFF" w:themeFill="background1"/>
            <w:tcMar>
              <w:top w:w="70" w:type="dxa"/>
              <w:left w:w="70" w:type="dxa"/>
              <w:bottom w:w="70" w:type="dxa"/>
              <w:right w:w="70" w:type="dxa"/>
            </w:tcMar>
            <w:vAlign w:val="center"/>
          </w:tcPr>
          <w:p w:rsidR="00914FAA" w:rsidP="06910F8B" w:rsidRDefault="000E7DA8" w14:paraId="0F937CB5"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w:t>
            </w:r>
          </w:p>
        </w:tc>
        <w:tc>
          <w:tcPr>
            <w:tcW w:w="3731" w:type="dxa"/>
            <w:shd w:val="clear" w:color="auto" w:fill="FFFFFF" w:themeFill="background1"/>
            <w:tcMar>
              <w:top w:w="70" w:type="dxa"/>
              <w:left w:w="70" w:type="dxa"/>
              <w:bottom w:w="70" w:type="dxa"/>
              <w:right w:w="70" w:type="dxa"/>
            </w:tcMar>
            <w:vAlign w:val="center"/>
          </w:tcPr>
          <w:p w:rsidR="00914FAA" w:rsidP="06910F8B" w:rsidRDefault="000E7DA8" w14:paraId="2823DBB6"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Familiarización y revisión</w:t>
            </w:r>
          </w:p>
        </w:tc>
        <w:tc>
          <w:tcPr>
            <w:tcW w:w="3207" w:type="dxa"/>
            <w:shd w:val="clear" w:color="auto" w:fill="FFFFFF" w:themeFill="background1"/>
            <w:tcMar>
              <w:top w:w="70" w:type="dxa"/>
              <w:left w:w="70" w:type="dxa"/>
              <w:bottom w:w="70" w:type="dxa"/>
              <w:right w:w="70" w:type="dxa"/>
            </w:tcMar>
            <w:vAlign w:val="center"/>
          </w:tcPr>
          <w:p w:rsidR="00914FAA" w:rsidP="06910F8B" w:rsidRDefault="000E7DA8" w14:paraId="02B0923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Problema clínico y estado del arte; selección de datos, herramientas y familias de modelos</w:t>
            </w:r>
          </w:p>
        </w:tc>
      </w:tr>
      <w:tr w:rsidR="00914FAA" w:rsidTr="06910F8B" w14:paraId="5FFC7A2E" w14:textId="77777777">
        <w:trPr>
          <w:cantSplit/>
        </w:trPr>
        <w:tc>
          <w:tcPr>
            <w:tcW w:w="1566" w:type="dxa"/>
            <w:shd w:val="clear" w:color="auto" w:fill="FCE4D6"/>
            <w:tcMar>
              <w:top w:w="70" w:type="dxa"/>
              <w:left w:w="70" w:type="dxa"/>
              <w:bottom w:w="70" w:type="dxa"/>
              <w:right w:w="70" w:type="dxa"/>
            </w:tcMar>
            <w:vAlign w:val="center"/>
          </w:tcPr>
          <w:p w:rsidR="00914FAA" w:rsidP="06910F8B" w:rsidRDefault="000E7DA8" w14:paraId="4BE4F639"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2</w:t>
            </w:r>
          </w:p>
        </w:tc>
        <w:tc>
          <w:tcPr>
            <w:tcW w:w="3731" w:type="dxa"/>
            <w:shd w:val="clear" w:color="auto" w:fill="FCE4D6"/>
            <w:tcMar>
              <w:top w:w="70" w:type="dxa"/>
              <w:left w:w="70" w:type="dxa"/>
              <w:bottom w:w="70" w:type="dxa"/>
              <w:right w:w="70" w:type="dxa"/>
            </w:tcMar>
            <w:vAlign w:val="center"/>
          </w:tcPr>
          <w:p w:rsidR="00914FAA" w:rsidP="06910F8B" w:rsidRDefault="000E7DA8" w14:paraId="29C6D78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Análisis y preparación de datos</w:t>
            </w:r>
          </w:p>
        </w:tc>
        <w:tc>
          <w:tcPr>
            <w:tcW w:w="3207" w:type="dxa"/>
            <w:shd w:val="clear" w:color="auto" w:fill="FCE4D6"/>
            <w:tcMar>
              <w:top w:w="70" w:type="dxa"/>
              <w:left w:w="70" w:type="dxa"/>
              <w:bottom w:w="70" w:type="dxa"/>
              <w:right w:w="70" w:type="dxa"/>
            </w:tcMar>
            <w:vAlign w:val="center"/>
          </w:tcPr>
          <w:p w:rsidR="00914FAA" w:rsidP="06910F8B" w:rsidRDefault="000E7DA8" w14:paraId="4C47225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Inventario, control de calidad y partición estratificada por estudio</w:t>
            </w:r>
          </w:p>
        </w:tc>
      </w:tr>
      <w:tr w:rsidR="00914FAA" w:rsidTr="06910F8B" w14:paraId="7FBED308" w14:textId="77777777">
        <w:trPr>
          <w:cantSplit/>
        </w:trPr>
        <w:tc>
          <w:tcPr>
            <w:tcW w:w="1566" w:type="dxa"/>
            <w:shd w:val="clear" w:color="auto" w:fill="FFFFFF" w:themeFill="background1"/>
            <w:tcMar>
              <w:top w:w="70" w:type="dxa"/>
              <w:left w:w="70" w:type="dxa"/>
              <w:bottom w:w="70" w:type="dxa"/>
              <w:right w:w="70" w:type="dxa"/>
            </w:tcMar>
            <w:vAlign w:val="center"/>
          </w:tcPr>
          <w:p w:rsidR="00914FAA" w:rsidP="06910F8B" w:rsidRDefault="000E7DA8" w14:paraId="73E8211B"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3</w:t>
            </w:r>
          </w:p>
        </w:tc>
        <w:tc>
          <w:tcPr>
            <w:tcW w:w="3731" w:type="dxa"/>
            <w:shd w:val="clear" w:color="auto" w:fill="FFFFFF" w:themeFill="background1"/>
            <w:tcMar>
              <w:top w:w="70" w:type="dxa"/>
              <w:left w:w="70" w:type="dxa"/>
              <w:bottom w:w="70" w:type="dxa"/>
              <w:right w:w="70" w:type="dxa"/>
            </w:tcMar>
            <w:vAlign w:val="center"/>
          </w:tcPr>
          <w:p w:rsidR="00914FAA" w:rsidP="06910F8B" w:rsidRDefault="000E7DA8" w14:paraId="2B4B0651" w14:textId="77777777">
            <w:pPr>
              <w:spacing w:after="0" w:line="240" w:lineRule="auto"/>
              <w:jc w:val="left"/>
              <w:rPr>
                <w:rFonts w:eastAsia="Arial"/>
                <w:i w:val="1"/>
                <w:iCs w:val="1"/>
                <w:color w:val="000000" w:themeColor="text1" w:themeTint="FF" w:themeShade="FF"/>
                <w:sz w:val="20"/>
                <w:szCs w:val="20"/>
              </w:rPr>
            </w:pPr>
            <w:r w:rsidRPr="06910F8B" w:rsidR="6A5F4401">
              <w:rPr>
                <w:rFonts w:eastAsia="Arial"/>
                <w:color w:val="000000" w:themeColor="text1" w:themeTint="FF" w:themeShade="FF"/>
                <w:sz w:val="20"/>
                <w:szCs w:val="20"/>
              </w:rPr>
              <w:t xml:space="preserve">Diseño e implementación del </w:t>
            </w:r>
            <w:r w:rsidRPr="06910F8B" w:rsidR="6A5F4401">
              <w:rPr>
                <w:rFonts w:eastAsia="Arial"/>
                <w:i w:val="1"/>
                <w:iCs w:val="1"/>
                <w:color w:val="000000" w:themeColor="text1" w:themeTint="FF" w:themeShade="FF"/>
                <w:sz w:val="20"/>
                <w:szCs w:val="20"/>
              </w:rPr>
              <w:t>pipeline</w:t>
            </w:r>
          </w:p>
        </w:tc>
        <w:tc>
          <w:tcPr>
            <w:tcW w:w="3207" w:type="dxa"/>
            <w:shd w:val="clear" w:color="auto" w:fill="FFFFFF" w:themeFill="background1"/>
            <w:tcMar>
              <w:top w:w="70" w:type="dxa"/>
              <w:left w:w="70" w:type="dxa"/>
              <w:bottom w:w="70" w:type="dxa"/>
              <w:right w:w="70" w:type="dxa"/>
            </w:tcMar>
            <w:vAlign w:val="center"/>
          </w:tcPr>
          <w:p w:rsidR="00914FAA" w:rsidP="06910F8B" w:rsidRDefault="000E7DA8" w14:paraId="783E0E7D"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Entorno, código, transformaciones, modelos y mecanismos de fusión</w:t>
            </w:r>
          </w:p>
        </w:tc>
      </w:tr>
      <w:tr w:rsidR="00914FAA" w:rsidTr="06910F8B" w14:paraId="5E62A12E" w14:textId="77777777">
        <w:trPr>
          <w:cantSplit/>
        </w:trPr>
        <w:tc>
          <w:tcPr>
            <w:tcW w:w="1566" w:type="dxa"/>
            <w:shd w:val="clear" w:color="auto" w:fill="FCE4D6"/>
            <w:tcMar>
              <w:top w:w="70" w:type="dxa"/>
              <w:left w:w="70" w:type="dxa"/>
              <w:bottom w:w="70" w:type="dxa"/>
              <w:right w:w="70" w:type="dxa"/>
            </w:tcMar>
            <w:vAlign w:val="center"/>
          </w:tcPr>
          <w:p w:rsidR="00914FAA" w:rsidP="06910F8B" w:rsidRDefault="000E7DA8" w14:paraId="56B2E366"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4</w:t>
            </w:r>
          </w:p>
        </w:tc>
        <w:tc>
          <w:tcPr>
            <w:tcW w:w="3731" w:type="dxa"/>
            <w:shd w:val="clear" w:color="auto" w:fill="FCE4D6"/>
            <w:tcMar>
              <w:top w:w="70" w:type="dxa"/>
              <w:left w:w="70" w:type="dxa"/>
              <w:bottom w:w="70" w:type="dxa"/>
              <w:right w:w="70" w:type="dxa"/>
            </w:tcMar>
            <w:vAlign w:val="center"/>
          </w:tcPr>
          <w:p w:rsidR="00914FAA" w:rsidP="06910F8B" w:rsidRDefault="000E7DA8" w14:paraId="27CAA5E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Experimentación</w:t>
            </w:r>
          </w:p>
        </w:tc>
        <w:tc>
          <w:tcPr>
            <w:tcW w:w="3207" w:type="dxa"/>
            <w:shd w:val="clear" w:color="auto" w:fill="FCE4D6"/>
            <w:tcMar>
              <w:top w:w="70" w:type="dxa"/>
              <w:left w:w="70" w:type="dxa"/>
              <w:bottom w:w="70" w:type="dxa"/>
              <w:right w:w="70" w:type="dxa"/>
            </w:tcMar>
            <w:vAlign w:val="center"/>
          </w:tcPr>
          <w:p w:rsidR="00914FAA" w:rsidP="06910F8B" w:rsidRDefault="000E7DA8" w14:paraId="244AA32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Protocolo MONAI, ablación controlada de fusión, multi-semilla y referencia nnU-Net</w:t>
            </w:r>
          </w:p>
        </w:tc>
      </w:tr>
      <w:tr w:rsidR="00914FAA" w:rsidTr="06910F8B" w14:paraId="0897387A" w14:textId="77777777">
        <w:trPr>
          <w:cantSplit/>
        </w:trPr>
        <w:tc>
          <w:tcPr>
            <w:tcW w:w="1566" w:type="dxa"/>
            <w:shd w:val="clear" w:color="auto" w:fill="FFFFFF" w:themeFill="background1"/>
            <w:tcMar>
              <w:top w:w="70" w:type="dxa"/>
              <w:left w:w="70" w:type="dxa"/>
              <w:bottom w:w="70" w:type="dxa"/>
              <w:right w:w="70" w:type="dxa"/>
            </w:tcMar>
            <w:vAlign w:val="center"/>
          </w:tcPr>
          <w:p w:rsidR="00914FAA" w:rsidP="06910F8B" w:rsidRDefault="000E7DA8" w14:paraId="08CE4585" w14:textId="77777777">
            <w:pPr>
              <w:keepNext w:val="1"/>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5</w:t>
            </w:r>
          </w:p>
        </w:tc>
        <w:tc>
          <w:tcPr>
            <w:tcW w:w="3731" w:type="dxa"/>
            <w:shd w:val="clear" w:color="auto" w:fill="FFFFFF" w:themeFill="background1"/>
            <w:tcMar>
              <w:top w:w="70" w:type="dxa"/>
              <w:left w:w="70" w:type="dxa"/>
              <w:bottom w:w="70" w:type="dxa"/>
              <w:right w:w="70" w:type="dxa"/>
            </w:tcMar>
            <w:vAlign w:val="center"/>
          </w:tcPr>
          <w:p w:rsidR="00914FAA" w:rsidP="06910F8B" w:rsidRDefault="000E7DA8" w14:paraId="6C4DB0B1"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Evaluación y análisis</w:t>
            </w:r>
          </w:p>
        </w:tc>
        <w:tc>
          <w:tcPr>
            <w:tcW w:w="3207" w:type="dxa"/>
            <w:shd w:val="clear" w:color="auto" w:fill="FFFFFF" w:themeFill="background1"/>
            <w:tcMar>
              <w:top w:w="70" w:type="dxa"/>
              <w:left w:w="70" w:type="dxa"/>
              <w:bottom w:w="70" w:type="dxa"/>
              <w:right w:w="70" w:type="dxa"/>
            </w:tcMar>
            <w:vAlign w:val="center"/>
          </w:tcPr>
          <w:p w:rsidR="00914FAA" w:rsidP="06910F8B" w:rsidRDefault="000E7DA8" w14:paraId="7B806B09"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Inferencia sobre test, métricas por región, variabilidad y huella computacional</w:t>
            </w:r>
          </w:p>
        </w:tc>
      </w:tr>
    </w:tbl>
    <w:p w:rsidR="00914FAA" w:rsidRDefault="000E7DA8" w14:paraId="2C5E4BB5" w14:textId="77777777">
      <w:pPr>
        <w:pStyle w:val="Descripcin"/>
        <w:keepLines/>
      </w:pPr>
      <w:bookmarkStart w:name="_Toc235507361" w:id="57"/>
      <w:r>
        <w:rPr>
          <w:b/>
        </w:rPr>
        <w:t xml:space="preserve">Tabla </w:t>
      </w:r>
      <w:r>
        <w:fldChar w:fldCharType="begin"/>
      </w:r>
      <w:r>
        <w:instrText xml:space="preserve"> SEQ Tabla \* ARABIC </w:instrText>
      </w:r>
      <w:r>
        <w:fldChar w:fldCharType="separate"/>
      </w:r>
      <w:r>
        <w:rPr>
          <w:b/>
        </w:rPr>
        <w:t>3</w:t>
      </w:r>
      <w:r>
        <w:fldChar w:fldCharType="end"/>
      </w:r>
      <w:r>
        <w:rPr>
          <w:b/>
        </w:rPr>
        <w:t xml:space="preserve">. </w:t>
      </w:r>
      <w:r>
        <w:t>Fases de la metodología ad hoc y actividades principales de cada una.</w:t>
      </w:r>
      <w:bookmarkEnd w:id="57"/>
    </w:p>
    <w:p w:rsidR="00914FAA" w:rsidRDefault="000E7DA8" w14:paraId="388B18C0" w14:textId="30A8A1BD">
      <w:r w:rsidR="6A5F4401">
        <w:rPr/>
        <w:t xml:space="preserve">La tabla muestra la separación entre la preparación del sistema y su evaluación: </w:t>
      </w:r>
      <w:r w:rsidR="6A5F4401">
        <w:rPr/>
        <w:t>el test</w:t>
      </w:r>
      <w:r w:rsidR="6A5F4401">
        <w:rPr/>
        <w:t xml:space="preserve"> no se usa para seleccionar puntos de control, y la interpretación de los resultados se realiza después de congelar las configuraciones finales. </w:t>
      </w:r>
    </w:p>
    <w:p w:rsidR="06910F8B" w:rsidRDefault="06910F8B" w14:paraId="797969E7" w14:textId="53D90F84"/>
    <w:p w:rsidR="00914FAA" w:rsidRDefault="000E7DA8" w14:paraId="4B4147DB" w14:textId="77777777">
      <w:pPr>
        <w:pStyle w:val="Ttulo2"/>
      </w:pPr>
      <w:bookmarkStart w:name="_Toc421875535" w:id="58"/>
      <w:bookmarkStart w:name="X29bf43a66ca6734890689a5fcfb94170afc44ed" w:id="59"/>
      <w:bookmarkEnd w:id="54"/>
      <w:r>
        <w:t>3.3. Correspondencia entre metodología y desarrollo</w:t>
      </w:r>
      <w:bookmarkEnd w:id="58"/>
    </w:p>
    <w:p w:rsidR="00914FAA" w:rsidRDefault="000E7DA8" w14:paraId="226E68B0" w14:textId="77777777">
      <w:commentRangeStart w:id="26"/>
      <w:r>
        <w:t>El Capítulo 4 dedica una sección al desarrollo técnico de cada fase. La Tabla 4 establece la correspondencia entre ambos capítulos y sirve como guía de lectura.</w:t>
      </w:r>
      <w:commentRangeEnd w:id="26"/>
      <w:r>
        <w:rPr>
          <w:rStyle w:val="CommentReference"/>
        </w:rPr>
        <w:commentReference w:id="26"/>
      </w:r>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4252"/>
        <w:gridCol w:w="4252"/>
      </w:tblGrid>
      <w:tr w:rsidR="00914FAA" w:rsidTr="06910F8B" w14:paraId="5159E67D" w14:textId="77777777">
        <w:trPr>
          <w:cantSplit/>
          <w:tblHeader/>
          <w:jc w:val="center"/>
        </w:trPr>
        <w:tc>
          <w:tcPr>
            <w:tcW w:w="4252" w:type="dxa"/>
            <w:shd w:val="clear" w:color="auto" w:fill="ED7D31"/>
            <w:tcMar>
              <w:top w:w="70" w:type="dxa"/>
              <w:left w:w="70" w:type="dxa"/>
              <w:bottom w:w="70" w:type="dxa"/>
              <w:right w:w="70" w:type="dxa"/>
            </w:tcMar>
            <w:vAlign w:val="center"/>
          </w:tcPr>
          <w:p w:rsidR="00914FAA" w:rsidP="06910F8B" w:rsidRDefault="000E7DA8" w14:paraId="00B2F066"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Fase (Cap. 3)</w:t>
            </w:r>
          </w:p>
        </w:tc>
        <w:tc>
          <w:tcPr>
            <w:tcW w:w="4252" w:type="dxa"/>
            <w:shd w:val="clear" w:color="auto" w:fill="ED7D31"/>
            <w:tcMar>
              <w:top w:w="70" w:type="dxa"/>
              <w:left w:w="70" w:type="dxa"/>
              <w:bottom w:w="70" w:type="dxa"/>
              <w:right w:w="70" w:type="dxa"/>
            </w:tcMar>
            <w:vAlign w:val="center"/>
          </w:tcPr>
          <w:p w:rsidR="00914FAA" w:rsidP="06910F8B" w:rsidRDefault="000E7DA8" w14:paraId="6BBD1EF7"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Sección de desarrollo (Cap. 4)</w:t>
            </w:r>
          </w:p>
        </w:tc>
      </w:tr>
      <w:tr w:rsidR="00914FAA" w:rsidTr="06910F8B" w14:paraId="5C9A38FE" w14:textId="77777777">
        <w:trPr>
          <w:cantSplit/>
          <w:jc w:val="center"/>
        </w:trPr>
        <w:tc>
          <w:tcPr>
            <w:tcW w:w="4252" w:type="dxa"/>
            <w:shd w:val="clear" w:color="auto" w:fill="FFFFFF" w:themeFill="background1"/>
            <w:tcMar>
              <w:top w:w="70" w:type="dxa"/>
              <w:left w:w="70" w:type="dxa"/>
              <w:bottom w:w="70" w:type="dxa"/>
              <w:right w:w="70" w:type="dxa"/>
            </w:tcMar>
            <w:vAlign w:val="center"/>
          </w:tcPr>
          <w:p w:rsidR="00914FAA" w:rsidP="06910F8B" w:rsidRDefault="000E7DA8" w14:paraId="00EC191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Fase 1 — Familiarización y revisión</w:t>
            </w:r>
          </w:p>
        </w:tc>
        <w:tc>
          <w:tcPr>
            <w:tcW w:w="4252" w:type="dxa"/>
            <w:shd w:val="clear" w:color="auto" w:fill="FFFFFF" w:themeFill="background1"/>
            <w:tcMar>
              <w:top w:w="70" w:type="dxa"/>
              <w:left w:w="70" w:type="dxa"/>
              <w:bottom w:w="70" w:type="dxa"/>
              <w:right w:w="70" w:type="dxa"/>
            </w:tcMar>
            <w:vAlign w:val="center"/>
          </w:tcPr>
          <w:p w:rsidR="00914FAA" w:rsidP="06910F8B" w:rsidRDefault="000E7DA8" w14:paraId="7C8A318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4.1. Familiarización y selección de herramientas</w:t>
            </w:r>
          </w:p>
        </w:tc>
      </w:tr>
      <w:tr w:rsidR="00914FAA" w:rsidTr="06910F8B" w14:paraId="25AA2909" w14:textId="77777777">
        <w:trPr>
          <w:cantSplit/>
          <w:jc w:val="center"/>
        </w:trPr>
        <w:tc>
          <w:tcPr>
            <w:tcW w:w="4252" w:type="dxa"/>
            <w:shd w:val="clear" w:color="auto" w:fill="FCE4D6"/>
            <w:tcMar>
              <w:top w:w="70" w:type="dxa"/>
              <w:left w:w="70" w:type="dxa"/>
              <w:bottom w:w="70" w:type="dxa"/>
              <w:right w:w="70" w:type="dxa"/>
            </w:tcMar>
            <w:vAlign w:val="center"/>
          </w:tcPr>
          <w:p w:rsidR="00914FAA" w:rsidP="06910F8B" w:rsidRDefault="000E7DA8" w14:paraId="23895BE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Fase 2 — Análisis y preparación de datos</w:t>
            </w:r>
          </w:p>
        </w:tc>
        <w:tc>
          <w:tcPr>
            <w:tcW w:w="4252" w:type="dxa"/>
            <w:shd w:val="clear" w:color="auto" w:fill="FCE4D6"/>
            <w:tcMar>
              <w:top w:w="70" w:type="dxa"/>
              <w:left w:w="70" w:type="dxa"/>
              <w:bottom w:w="70" w:type="dxa"/>
              <w:right w:w="70" w:type="dxa"/>
            </w:tcMar>
            <w:vAlign w:val="center"/>
          </w:tcPr>
          <w:p w:rsidR="00914FAA" w:rsidP="06910F8B" w:rsidRDefault="000E7DA8" w14:paraId="6796F7B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4.2. Análisis y preparación de los datos</w:t>
            </w:r>
          </w:p>
        </w:tc>
      </w:tr>
      <w:tr w:rsidR="00914FAA" w:rsidTr="06910F8B" w14:paraId="261B5DAB" w14:textId="77777777">
        <w:trPr>
          <w:cantSplit/>
          <w:jc w:val="center"/>
        </w:trPr>
        <w:tc>
          <w:tcPr>
            <w:tcW w:w="4252" w:type="dxa"/>
            <w:shd w:val="clear" w:color="auto" w:fill="FFFFFF" w:themeFill="background1"/>
            <w:tcMar>
              <w:top w:w="70" w:type="dxa"/>
              <w:left w:w="70" w:type="dxa"/>
              <w:bottom w:w="70" w:type="dxa"/>
              <w:right w:w="70" w:type="dxa"/>
            </w:tcMar>
            <w:vAlign w:val="center"/>
          </w:tcPr>
          <w:p w:rsidR="00914FAA" w:rsidP="06910F8B" w:rsidRDefault="000E7DA8" w14:paraId="0BF4F3EC" w14:textId="77777777">
            <w:pPr>
              <w:spacing w:after="0" w:line="240" w:lineRule="auto"/>
              <w:jc w:val="left"/>
              <w:rPr>
                <w:rFonts w:eastAsia="Arial"/>
                <w:i w:val="1"/>
                <w:iCs w:val="1"/>
                <w:color w:val="000000" w:themeColor="text1" w:themeTint="FF" w:themeShade="FF"/>
                <w:sz w:val="20"/>
                <w:szCs w:val="20"/>
              </w:rPr>
            </w:pPr>
            <w:r w:rsidRPr="06910F8B" w:rsidR="6A5F4401">
              <w:rPr>
                <w:rFonts w:eastAsia="Arial"/>
                <w:color w:val="000000" w:themeColor="text1" w:themeTint="FF" w:themeShade="FF"/>
                <w:sz w:val="20"/>
                <w:szCs w:val="20"/>
              </w:rPr>
              <w:t xml:space="preserve">Fase 3 — Diseño e implementación del </w:t>
            </w:r>
            <w:r w:rsidRPr="06910F8B" w:rsidR="6A5F4401">
              <w:rPr>
                <w:rFonts w:eastAsia="Arial"/>
                <w:i w:val="1"/>
                <w:iCs w:val="1"/>
                <w:color w:val="000000" w:themeColor="text1" w:themeTint="FF" w:themeShade="FF"/>
                <w:sz w:val="20"/>
                <w:szCs w:val="20"/>
              </w:rPr>
              <w:t>pipeline</w:t>
            </w:r>
          </w:p>
        </w:tc>
        <w:tc>
          <w:tcPr>
            <w:tcW w:w="4252" w:type="dxa"/>
            <w:shd w:val="clear" w:color="auto" w:fill="FFFFFF" w:themeFill="background1"/>
            <w:tcMar>
              <w:top w:w="70" w:type="dxa"/>
              <w:left w:w="70" w:type="dxa"/>
              <w:bottom w:w="70" w:type="dxa"/>
              <w:right w:w="70" w:type="dxa"/>
            </w:tcMar>
            <w:vAlign w:val="center"/>
          </w:tcPr>
          <w:p w:rsidR="00914FAA" w:rsidP="06910F8B" w:rsidRDefault="000E7DA8" w14:paraId="4F3E5A4F" w14:textId="77777777">
            <w:pPr>
              <w:spacing w:after="0" w:line="240" w:lineRule="auto"/>
              <w:jc w:val="left"/>
              <w:rPr>
                <w:rFonts w:eastAsia="Arial"/>
                <w:i w:val="1"/>
                <w:iCs w:val="1"/>
                <w:color w:val="000000" w:themeColor="text1" w:themeTint="FF" w:themeShade="FF"/>
                <w:sz w:val="20"/>
                <w:szCs w:val="20"/>
              </w:rPr>
            </w:pPr>
            <w:r w:rsidRPr="06910F8B" w:rsidR="6A5F4401">
              <w:rPr>
                <w:rFonts w:eastAsia="Arial"/>
                <w:color w:val="000000" w:themeColor="text1" w:themeTint="FF" w:themeShade="FF"/>
                <w:sz w:val="20"/>
                <w:szCs w:val="20"/>
              </w:rPr>
              <w:t xml:space="preserve">4.3. Diseño e implementación del </w:t>
            </w:r>
            <w:r w:rsidRPr="06910F8B" w:rsidR="6A5F4401">
              <w:rPr>
                <w:rFonts w:eastAsia="Arial"/>
                <w:i w:val="1"/>
                <w:iCs w:val="1"/>
                <w:color w:val="000000" w:themeColor="text1" w:themeTint="FF" w:themeShade="FF"/>
                <w:sz w:val="20"/>
                <w:szCs w:val="20"/>
              </w:rPr>
              <w:t>pipeline</w:t>
            </w:r>
          </w:p>
        </w:tc>
      </w:tr>
      <w:tr w:rsidR="00914FAA" w:rsidTr="06910F8B" w14:paraId="530F9B1E" w14:textId="77777777">
        <w:trPr>
          <w:cantSplit/>
          <w:jc w:val="center"/>
        </w:trPr>
        <w:tc>
          <w:tcPr>
            <w:tcW w:w="4252" w:type="dxa"/>
            <w:shd w:val="clear" w:color="auto" w:fill="FCE4D6"/>
            <w:tcMar>
              <w:top w:w="70" w:type="dxa"/>
              <w:left w:w="70" w:type="dxa"/>
              <w:bottom w:w="70" w:type="dxa"/>
              <w:right w:w="70" w:type="dxa"/>
            </w:tcMar>
            <w:vAlign w:val="center"/>
          </w:tcPr>
          <w:p w:rsidR="00914FAA" w:rsidP="06910F8B" w:rsidRDefault="000E7DA8" w14:paraId="02E5423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Fase 4 — Experimentación</w:t>
            </w:r>
          </w:p>
        </w:tc>
        <w:tc>
          <w:tcPr>
            <w:tcW w:w="4252" w:type="dxa"/>
            <w:shd w:val="clear" w:color="auto" w:fill="FCE4D6"/>
            <w:tcMar>
              <w:top w:w="70" w:type="dxa"/>
              <w:left w:w="70" w:type="dxa"/>
              <w:bottom w:w="70" w:type="dxa"/>
              <w:right w:w="70" w:type="dxa"/>
            </w:tcMar>
            <w:vAlign w:val="center"/>
          </w:tcPr>
          <w:p w:rsidR="00914FAA" w:rsidP="06910F8B" w:rsidRDefault="000E7DA8" w14:paraId="3029EA5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4.4. Experimentación</w:t>
            </w:r>
          </w:p>
        </w:tc>
      </w:tr>
      <w:tr w:rsidR="00914FAA" w:rsidTr="06910F8B" w14:paraId="4C6DFA1E" w14:textId="77777777">
        <w:trPr>
          <w:cantSplit/>
          <w:jc w:val="center"/>
        </w:trPr>
        <w:tc>
          <w:tcPr>
            <w:tcW w:w="4252" w:type="dxa"/>
            <w:shd w:val="clear" w:color="auto" w:fill="FFFFFF" w:themeFill="background1"/>
            <w:tcMar>
              <w:top w:w="70" w:type="dxa"/>
              <w:left w:w="70" w:type="dxa"/>
              <w:bottom w:w="70" w:type="dxa"/>
              <w:right w:w="70" w:type="dxa"/>
            </w:tcMar>
            <w:vAlign w:val="center"/>
          </w:tcPr>
          <w:p w:rsidR="00914FAA" w:rsidP="06910F8B" w:rsidRDefault="000E7DA8" w14:paraId="18BEAF62"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Fase 5 — Evaluación y análisis</w:t>
            </w:r>
          </w:p>
        </w:tc>
        <w:tc>
          <w:tcPr>
            <w:tcW w:w="4252" w:type="dxa"/>
            <w:shd w:val="clear" w:color="auto" w:fill="FFFFFF" w:themeFill="background1"/>
            <w:tcMar>
              <w:top w:w="70" w:type="dxa"/>
              <w:left w:w="70" w:type="dxa"/>
              <w:bottom w:w="70" w:type="dxa"/>
              <w:right w:w="70" w:type="dxa"/>
            </w:tcMar>
            <w:vAlign w:val="center"/>
          </w:tcPr>
          <w:p w:rsidR="00914FAA" w:rsidP="06910F8B" w:rsidRDefault="000E7DA8" w14:paraId="665B0224"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4.5. Evaluación y análisis de resultados</w:t>
            </w:r>
          </w:p>
        </w:tc>
      </w:tr>
    </w:tbl>
    <w:p w:rsidR="00914FAA" w:rsidRDefault="000E7DA8" w14:paraId="32211EFA" w14:textId="77777777">
      <w:pPr>
        <w:pStyle w:val="Descripcin"/>
        <w:keepLines/>
      </w:pPr>
      <w:bookmarkStart w:name="_Toc235507362" w:id="60"/>
      <w:r>
        <w:rPr>
          <w:b/>
        </w:rPr>
        <w:t xml:space="preserve">Tabla </w:t>
      </w:r>
      <w:r>
        <w:fldChar w:fldCharType="begin"/>
      </w:r>
      <w:r>
        <w:instrText xml:space="preserve"> SEQ Tabla \* ARABIC </w:instrText>
      </w:r>
      <w:r>
        <w:fldChar w:fldCharType="separate"/>
      </w:r>
      <w:r>
        <w:rPr>
          <w:b/>
        </w:rPr>
        <w:t>4</w:t>
      </w:r>
      <w:r>
        <w:fldChar w:fldCharType="end"/>
      </w:r>
      <w:r>
        <w:rPr>
          <w:b/>
        </w:rPr>
        <w:t xml:space="preserve">. </w:t>
      </w:r>
      <w:r>
        <w:t>Correspondencia entre las fases de la metodología (Capítulo 3) y las secciones de desarrollo técnico (Capítulo 4).</w:t>
      </w:r>
      <w:bookmarkEnd w:id="60"/>
    </w:p>
    <w:p w:rsidR="00914FAA" w:rsidRDefault="000E7DA8" w14:paraId="3BAE1AA3" w14:textId="77777777">
      <w:r w:rsidR="6A5F4401">
        <w:rPr/>
        <w:t>Esta correspondencia mantiene en el presente capítulo la descripción metodológica general y concentra en el siguiente los parámetros, componentes de código y decisiones de ejecución.</w:t>
      </w:r>
    </w:p>
    <w:p w:rsidR="06910F8B" w:rsidRDefault="06910F8B" w14:paraId="11C40EA3" w14:textId="0304C7DA"/>
    <w:p w:rsidR="00914FAA" w:rsidRDefault="000E7DA8" w14:paraId="2140B370" w14:textId="77777777">
      <w:pPr>
        <w:pStyle w:val="Ttulo2"/>
      </w:pPr>
      <w:bookmarkStart w:name="_Toc738730114" w:id="61"/>
      <w:bookmarkStart w:name="cronograma" w:id="62"/>
      <w:bookmarkEnd w:id="56"/>
      <w:r>
        <w:t>3.4. Cronograma</w:t>
      </w:r>
      <w:bookmarkEnd w:id="61"/>
    </w:p>
    <w:p w:rsidR="00914FAA" w:rsidRDefault="000E7DA8" w14:paraId="4A308975" w14:textId="0DB169E7">
      <w:commentRangeStart w:id="27"/>
      <w:r w:rsidR="6A5F4401">
        <w:rPr/>
        <w:t>El trabajo se desarrolló entre mayo y julio de 2026. La Tabla 5 presenta el cronograma por fases</w:t>
      </w:r>
      <w:r w:rsidR="6133C959">
        <w:rPr/>
        <w:t>. D</w:t>
      </w:r>
      <w:r w:rsidR="6A5F4401">
        <w:rPr/>
        <w:t>ado el carácter incremental de la metodología, algunas actividades se solaparon y los hallazgos de experimentación motivaron revisiones de implementación.</w:t>
      </w:r>
      <w:commentRangeEnd w:id="27"/>
      <w:r>
        <w:rPr>
          <w:rStyle w:val="CommentReference"/>
        </w:rPr>
        <w:commentReference w:id="27"/>
      </w:r>
    </w:p>
    <w:p w:rsidR="06910F8B" w:rsidRDefault="06910F8B" w14:paraId="409FAB85" w14:textId="658DEB9E"/>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834"/>
        <w:gridCol w:w="2835"/>
        <w:gridCol w:w="2835"/>
      </w:tblGrid>
      <w:tr w:rsidR="00914FAA" w:rsidTr="06910F8B" w14:paraId="4DBBF4FB" w14:textId="77777777">
        <w:trPr>
          <w:cantSplit/>
          <w:tblHeader/>
          <w:jc w:val="center"/>
        </w:trPr>
        <w:tc>
          <w:tcPr>
            <w:tcW w:w="2835" w:type="dxa"/>
            <w:shd w:val="clear" w:color="auto" w:fill="ED7D31"/>
            <w:tcMar>
              <w:top w:w="70" w:type="dxa"/>
              <w:left w:w="70" w:type="dxa"/>
              <w:bottom w:w="70" w:type="dxa"/>
              <w:right w:w="70" w:type="dxa"/>
            </w:tcMar>
            <w:vAlign w:val="center"/>
          </w:tcPr>
          <w:p w:rsidR="00914FAA" w:rsidP="06910F8B" w:rsidRDefault="000E7DA8" w14:paraId="43162911"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Fase</w:t>
            </w:r>
          </w:p>
        </w:tc>
        <w:tc>
          <w:tcPr>
            <w:tcW w:w="2835" w:type="dxa"/>
            <w:shd w:val="clear" w:color="auto" w:fill="ED7D31"/>
            <w:tcMar>
              <w:top w:w="70" w:type="dxa"/>
              <w:left w:w="70" w:type="dxa"/>
              <w:bottom w:w="70" w:type="dxa"/>
              <w:right w:w="70" w:type="dxa"/>
            </w:tcMar>
            <w:vAlign w:val="center"/>
          </w:tcPr>
          <w:p w:rsidR="00914FAA" w:rsidP="06910F8B" w:rsidRDefault="000E7DA8" w14:paraId="443249AB"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Actividades</w:t>
            </w:r>
          </w:p>
        </w:tc>
        <w:tc>
          <w:tcPr>
            <w:tcW w:w="2835" w:type="dxa"/>
            <w:shd w:val="clear" w:color="auto" w:fill="ED7D31"/>
            <w:tcMar>
              <w:top w:w="70" w:type="dxa"/>
              <w:left w:w="70" w:type="dxa"/>
              <w:bottom w:w="70" w:type="dxa"/>
              <w:right w:w="70" w:type="dxa"/>
            </w:tcMar>
            <w:vAlign w:val="center"/>
          </w:tcPr>
          <w:p w:rsidR="00914FAA" w:rsidP="06910F8B" w:rsidRDefault="000E7DA8" w14:paraId="5840EC74"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Periodo aproximado</w:t>
            </w:r>
          </w:p>
        </w:tc>
      </w:tr>
      <w:tr w:rsidR="00914FAA" w:rsidTr="06910F8B" w14:paraId="334E18DB" w14:textId="77777777">
        <w:trPr>
          <w:cantSplit/>
          <w:jc w:val="center"/>
        </w:trPr>
        <w:tc>
          <w:tcPr>
            <w:tcW w:w="2835" w:type="dxa"/>
            <w:shd w:val="clear" w:color="auto" w:fill="FFFFFF" w:themeFill="background1"/>
            <w:tcMar>
              <w:top w:w="70" w:type="dxa"/>
              <w:left w:w="70" w:type="dxa"/>
              <w:bottom w:w="70" w:type="dxa"/>
              <w:right w:w="70" w:type="dxa"/>
            </w:tcMar>
            <w:vAlign w:val="center"/>
          </w:tcPr>
          <w:p w:rsidR="00914FAA" w:rsidP="06910F8B" w:rsidRDefault="000E7DA8" w14:paraId="3EB22F0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 Familiarización y revisión</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54C3045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Revisión del estado del arte; decisiones de alcance y herramientas; tutorías de encuadre</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5889A36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Mayo 2026</w:t>
            </w:r>
          </w:p>
        </w:tc>
      </w:tr>
      <w:tr w:rsidR="00914FAA" w:rsidTr="06910F8B" w14:paraId="373C995E" w14:textId="77777777">
        <w:trPr>
          <w:cantSplit/>
          <w:jc w:val="center"/>
        </w:trPr>
        <w:tc>
          <w:tcPr>
            <w:tcW w:w="2835" w:type="dxa"/>
            <w:shd w:val="clear" w:color="auto" w:fill="FCE4D6"/>
            <w:tcMar>
              <w:top w:w="70" w:type="dxa"/>
              <w:left w:w="70" w:type="dxa"/>
              <w:bottom w:w="70" w:type="dxa"/>
              <w:right w:w="70" w:type="dxa"/>
            </w:tcMar>
            <w:vAlign w:val="center"/>
          </w:tcPr>
          <w:p w:rsidR="00914FAA" w:rsidP="06910F8B" w:rsidRDefault="000E7DA8" w14:paraId="561C681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2. Análisis y preparación de datos</w:t>
            </w:r>
          </w:p>
        </w:tc>
        <w:tc>
          <w:tcPr>
            <w:tcW w:w="2835" w:type="dxa"/>
            <w:shd w:val="clear" w:color="auto" w:fill="FCE4D6"/>
            <w:tcMar>
              <w:top w:w="70" w:type="dxa"/>
              <w:left w:w="70" w:type="dxa"/>
              <w:bottom w:w="70" w:type="dxa"/>
              <w:right w:w="70" w:type="dxa"/>
            </w:tcMar>
            <w:vAlign w:val="center"/>
          </w:tcPr>
          <w:p w:rsidR="00914FAA" w:rsidP="06910F8B" w:rsidRDefault="000E7DA8" w14:paraId="1AD3299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Control de calidad del conjunto; particiones estratificadas reproducibles</w:t>
            </w:r>
          </w:p>
        </w:tc>
        <w:tc>
          <w:tcPr>
            <w:tcW w:w="2835" w:type="dxa"/>
            <w:shd w:val="clear" w:color="auto" w:fill="FCE4D6"/>
            <w:tcMar>
              <w:top w:w="70" w:type="dxa"/>
              <w:left w:w="70" w:type="dxa"/>
              <w:bottom w:w="70" w:type="dxa"/>
              <w:right w:w="70" w:type="dxa"/>
            </w:tcMar>
            <w:vAlign w:val="center"/>
          </w:tcPr>
          <w:p w:rsidR="00914FAA" w:rsidP="06910F8B" w:rsidRDefault="000E7DA8" w14:paraId="31EEF51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Mayo 2026</w:t>
            </w:r>
          </w:p>
        </w:tc>
      </w:tr>
      <w:tr w:rsidR="00914FAA" w:rsidTr="06910F8B" w14:paraId="2ECC5CEE" w14:textId="77777777">
        <w:trPr>
          <w:cantSplit/>
          <w:jc w:val="center"/>
        </w:trPr>
        <w:tc>
          <w:tcPr>
            <w:tcW w:w="2835" w:type="dxa"/>
            <w:shd w:val="clear" w:color="auto" w:fill="FFFFFF" w:themeFill="background1"/>
            <w:tcMar>
              <w:top w:w="70" w:type="dxa"/>
              <w:left w:w="70" w:type="dxa"/>
              <w:bottom w:w="70" w:type="dxa"/>
              <w:right w:w="70" w:type="dxa"/>
            </w:tcMar>
            <w:vAlign w:val="center"/>
          </w:tcPr>
          <w:p w:rsidR="00914FAA" w:rsidP="06910F8B" w:rsidRDefault="000E7DA8" w14:paraId="2AD47F3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3. Diseño e implementación</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3521598B" w14:textId="77777777">
            <w:pPr>
              <w:spacing w:after="0" w:line="240" w:lineRule="auto"/>
              <w:jc w:val="left"/>
              <w:rPr>
                <w:rFonts w:eastAsia="Arial"/>
                <w:color w:val="000000" w:themeColor="text1" w:themeTint="FF" w:themeShade="FF"/>
                <w:sz w:val="20"/>
                <w:szCs w:val="20"/>
              </w:rPr>
            </w:pPr>
            <w:r w:rsidRPr="06910F8B" w:rsidR="6A5F4401">
              <w:rPr>
                <w:rFonts w:eastAsia="Arial"/>
                <w:i w:val="1"/>
                <w:iCs w:val="1"/>
                <w:color w:val="000000" w:themeColor="text1" w:themeTint="FF" w:themeShade="FF"/>
                <w:sz w:val="20"/>
                <w:szCs w:val="20"/>
              </w:rPr>
              <w:t>Pipeline</w:t>
            </w:r>
            <w:r w:rsidRPr="06910F8B" w:rsidR="6A5F4401">
              <w:rPr>
                <w:rFonts w:eastAsia="Arial"/>
                <w:color w:val="000000" w:themeColor="text1" w:themeTint="FF" w:themeShade="FF"/>
                <w:sz w:val="20"/>
                <w:szCs w:val="20"/>
              </w:rPr>
              <w:t xml:space="preserve"> MONAI; </w:t>
            </w:r>
            <w:r w:rsidRPr="06910F8B" w:rsidR="6A5F4401">
              <w:rPr>
                <w:rFonts w:eastAsia="Arial"/>
                <w:i w:val="1"/>
                <w:iCs w:val="1"/>
                <w:color w:val="000000" w:themeColor="text1" w:themeTint="FF" w:themeShade="FF"/>
                <w:sz w:val="20"/>
                <w:szCs w:val="20"/>
              </w:rPr>
              <w:t>factory</w:t>
            </w:r>
            <w:r w:rsidRPr="06910F8B" w:rsidR="6A5F4401">
              <w:rPr>
                <w:rFonts w:eastAsia="Arial"/>
                <w:color w:val="000000" w:themeColor="text1" w:themeTint="FF" w:themeShade="FF"/>
                <w:sz w:val="20"/>
                <w:szCs w:val="20"/>
              </w:rPr>
              <w:t xml:space="preserve"> de modelos; mecanismos de fusión; adaptación de E/S y de nnU-Net</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5B74E6F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Mayo – junio 2026</w:t>
            </w:r>
          </w:p>
        </w:tc>
      </w:tr>
      <w:tr w:rsidR="00914FAA" w:rsidTr="06910F8B" w14:paraId="62350606" w14:textId="77777777">
        <w:trPr>
          <w:cantSplit/>
          <w:jc w:val="center"/>
        </w:trPr>
        <w:tc>
          <w:tcPr>
            <w:tcW w:w="2835" w:type="dxa"/>
            <w:shd w:val="clear" w:color="auto" w:fill="FCE4D6"/>
            <w:tcMar>
              <w:top w:w="70" w:type="dxa"/>
              <w:left w:w="70" w:type="dxa"/>
              <w:bottom w:w="70" w:type="dxa"/>
              <w:right w:w="70" w:type="dxa"/>
            </w:tcMar>
            <w:vAlign w:val="center"/>
          </w:tcPr>
          <w:p w:rsidR="00914FAA" w:rsidP="06910F8B" w:rsidRDefault="000E7DA8" w14:paraId="7115E4D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4. Experimentación</w:t>
            </w:r>
          </w:p>
        </w:tc>
        <w:tc>
          <w:tcPr>
            <w:tcW w:w="2835" w:type="dxa"/>
            <w:shd w:val="clear" w:color="auto" w:fill="FCE4D6"/>
            <w:tcMar>
              <w:top w:w="70" w:type="dxa"/>
              <w:left w:w="70" w:type="dxa"/>
              <w:bottom w:w="70" w:type="dxa"/>
              <w:right w:w="70" w:type="dxa"/>
            </w:tcMar>
            <w:vAlign w:val="center"/>
          </w:tcPr>
          <w:p w:rsidR="00914FAA" w:rsidP="06910F8B" w:rsidRDefault="000E7DA8" w14:paraId="6FF8BF6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Baselines; Swin-UNETR; nnU-Net; sonda de convergencia; ablación y multi-semilla</w:t>
            </w:r>
          </w:p>
        </w:tc>
        <w:tc>
          <w:tcPr>
            <w:tcW w:w="2835" w:type="dxa"/>
            <w:shd w:val="clear" w:color="auto" w:fill="FCE4D6"/>
            <w:tcMar>
              <w:top w:w="70" w:type="dxa"/>
              <w:left w:w="70" w:type="dxa"/>
              <w:bottom w:w="70" w:type="dxa"/>
              <w:right w:w="70" w:type="dxa"/>
            </w:tcMar>
            <w:vAlign w:val="center"/>
          </w:tcPr>
          <w:p w:rsidR="00914FAA" w:rsidP="06910F8B" w:rsidRDefault="000E7DA8" w14:paraId="34D4C92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Junio – julio 2026</w:t>
            </w:r>
          </w:p>
        </w:tc>
      </w:tr>
      <w:tr w:rsidR="00914FAA" w:rsidTr="06910F8B" w14:paraId="540D67C3" w14:textId="77777777">
        <w:trPr>
          <w:cantSplit/>
          <w:jc w:val="center"/>
        </w:trPr>
        <w:tc>
          <w:tcPr>
            <w:tcW w:w="2835" w:type="dxa"/>
            <w:shd w:val="clear" w:color="auto" w:fill="FFFFFF" w:themeFill="background1"/>
            <w:tcMar>
              <w:top w:w="70" w:type="dxa"/>
              <w:left w:w="70" w:type="dxa"/>
              <w:bottom w:w="70" w:type="dxa"/>
              <w:right w:w="70" w:type="dxa"/>
            </w:tcMar>
            <w:vAlign w:val="center"/>
          </w:tcPr>
          <w:p w:rsidR="00914FAA" w:rsidP="06910F8B" w:rsidRDefault="000E7DA8" w14:paraId="27350ADE"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5. Evaluación y análisis</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38EEB5B3"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Inferencia y métricas sobre test; análisis comparativo y redacción de resultados</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38BD5FB5"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Julio 2026</w:t>
            </w:r>
          </w:p>
        </w:tc>
      </w:tr>
    </w:tbl>
    <w:p w:rsidR="6A5F4401" w:rsidP="06910F8B" w:rsidRDefault="6A5F4401" w14:paraId="0916A7B9" w14:textId="06E6CDA8">
      <w:pPr>
        <w:pStyle w:val="Descripcin"/>
        <w:keepLines w:val="1"/>
      </w:pPr>
      <w:bookmarkStart w:name="_Toc235507363" w:id="63"/>
      <w:r w:rsidRPr="06910F8B" w:rsidR="6A5F4401">
        <w:rPr>
          <w:b w:val="1"/>
          <w:bCs w:val="1"/>
        </w:rPr>
        <w:t xml:space="preserve">Tabla </w:t>
      </w:r>
      <w:r>
        <w:fldChar w:fldCharType="begin"/>
      </w:r>
      <w:r>
        <w:instrText xml:space="preserve"> SEQ Tabla \* ARABIC </w:instrText>
      </w:r>
      <w:r>
        <w:fldChar w:fldCharType="separate"/>
      </w:r>
      <w:r w:rsidRPr="06910F8B" w:rsidR="6A5F4401">
        <w:rPr>
          <w:b w:val="1"/>
          <w:bCs w:val="1"/>
        </w:rPr>
        <w:t>5</w:t>
      </w:r>
      <w:r>
        <w:fldChar w:fldCharType="end"/>
      </w:r>
      <w:r w:rsidRPr="06910F8B" w:rsidR="6A5F4401">
        <w:rPr>
          <w:b w:val="1"/>
          <w:bCs w:val="1"/>
        </w:rPr>
        <w:t xml:space="preserve">. </w:t>
      </w:r>
      <w:r w:rsidR="6A5F4401">
        <w:rPr/>
        <w:t>Cronograma del proyecto por fases y actividades.</w:t>
      </w:r>
      <w:bookmarkEnd w:id="63"/>
    </w:p>
    <w:p w:rsidR="00914FAA" w:rsidRDefault="000E7DA8" w14:paraId="76589A9C" w14:textId="765EF5D3">
      <w:r w:rsidR="6A5F4401">
        <w:rPr/>
        <w:t>El solapamiento principal se produjo entre las fases 3 y 4</w:t>
      </w:r>
      <w:r w:rsidR="737CD6C4">
        <w:rPr/>
        <w:t>. L</w:t>
      </w:r>
      <w:r w:rsidR="6A5F4401">
        <w:rPr/>
        <w:t xml:space="preserve">as pruebas de rendimiento condujeron a copiar los datos al disco local en la nube, y el diagnóstico de la compuerta original llevó a incorporar el descriptor </w:t>
      </w:r>
      <w:r w:rsidR="6A5F4401">
        <w:rPr/>
        <w:t>media+desviación</w:t>
      </w:r>
      <w:r w:rsidR="6A5F4401">
        <w:rPr/>
        <w:t>. El detalle de estas adaptaciones se desarrolla en el Capítulo 4.</w:t>
      </w:r>
    </w:p>
    <w:p w:rsidR="00914FAA" w:rsidRDefault="000E7DA8" w14:paraId="40305233" w14:textId="77777777">
      <w:pPr>
        <w:pStyle w:val="Ttulo1"/>
        <w:pageBreakBefore/>
      </w:pPr>
      <w:bookmarkStart w:name="_Toc596025605" w:id="64"/>
      <w:bookmarkStart w:name="desarrollo" w:id="65"/>
      <w:bookmarkEnd w:id="59"/>
      <w:bookmarkEnd w:id="62"/>
      <w:r>
        <w:lastRenderedPageBreak/>
        <w:t>4. Desarrollo</w:t>
      </w:r>
      <w:bookmarkEnd w:id="64"/>
    </w:p>
    <w:p w:rsidR="00914FAA" w:rsidRDefault="000E7DA8" w14:paraId="18CE4E5D" w14:textId="77777777">
      <w:commentRangeStart w:id="28"/>
      <w:r w:rsidR="6A5F4401">
        <w:rPr/>
        <w:t xml:space="preserve">Este capítulo describe cómo se materializaron las cinco fases de la metodología. Se detallan la preparación de los datos, la implementación del </w:t>
      </w:r>
      <w:r w:rsidRPr="06910F8B" w:rsidR="6A5F4401">
        <w:rPr>
          <w:i w:val="1"/>
          <w:iCs w:val="1"/>
        </w:rPr>
        <w:t>pipeline</w:t>
      </w:r>
      <w:r w:rsidR="6A5F4401">
        <w:rPr/>
        <w:t>, las familias de modelos, las adaptaciones introducidas durante el desarrollo, el protocolo experimental y la evaluación. La organización reproduce la del Capítulo 3 para mantener separadas la descripción metodológica general y las decisiones técnicas concretas.</w:t>
      </w:r>
      <w:commentRangeEnd w:id="28"/>
      <w:r>
        <w:rPr>
          <w:rStyle w:val="CommentReference"/>
        </w:rPr>
        <w:commentReference w:id="28"/>
      </w:r>
    </w:p>
    <w:p w:rsidR="06910F8B" w:rsidRDefault="06910F8B" w14:paraId="6DD8535F" w14:textId="777B280D"/>
    <w:p w:rsidR="00914FAA" w:rsidRDefault="000E7DA8" w14:paraId="3DA1057A" w14:textId="77777777">
      <w:pPr>
        <w:pStyle w:val="Ttulo2"/>
      </w:pPr>
      <w:bookmarkStart w:name="_Toc1666003556" w:id="66"/>
      <w:bookmarkStart w:name="X583d9726a55dbefaed1c93370122711a0b919a9" w:id="67"/>
      <w:r>
        <w:t>4.1. Familiarización y selección de herramientas (Fase 1)</w:t>
      </w:r>
      <w:bookmarkEnd w:id="66"/>
    </w:p>
    <w:p w:rsidR="00914FAA" w:rsidRDefault="000E7DA8" w14:paraId="655BDBEE" w14:textId="77777777">
      <w:commentRangeStart w:id="29"/>
      <w:r>
        <w:t xml:space="preserve">La fase inicial fijó el alcance del trabajo y las herramientas. Como marco principal se eligió </w:t>
      </w:r>
      <w:r>
        <w:rPr>
          <w:b/>
          <w:bCs/>
        </w:rPr>
        <w:t>MONAI</w:t>
      </w:r>
      <w:r>
        <w:t>, biblioteca especializada en imagen médica construida sobre PyTorch, por aportar transformaciones, estructuras de datos, redes y funciones de pérdida para segmentación 3D. MONAI proporciona estos componentes, pero el proyecto implementa un bucle de entrenamiento propio para controlar la precisión mixta, la validación por ventana deslizante, la selección de puntos de control y el registro de métricas.</w:t>
      </w:r>
      <w:commentRangeEnd w:id="29"/>
      <w:r>
        <w:rPr>
          <w:rStyle w:val="CommentReference"/>
        </w:rPr>
        <w:commentReference w:id="29"/>
      </w:r>
    </w:p>
    <w:p w:rsidR="00914FAA" w:rsidRDefault="000E7DA8" w14:paraId="101125A9" w14:textId="77777777">
      <w:r w:rsidR="6A5F4401">
        <w:rPr/>
        <w:t xml:space="preserve">Se seleccionaron </w:t>
      </w:r>
      <w:r w:rsidRPr="06910F8B" w:rsidR="6A5F4401">
        <w:rPr>
          <w:b w:val="1"/>
          <w:bCs w:val="1"/>
        </w:rPr>
        <w:t>cuatro familias de modelos</w:t>
      </w:r>
      <w:r w:rsidR="6A5F4401">
        <w:rPr/>
        <w:t xml:space="preserve"> con funciones diferentes en el estudio: una Residual U-Net 3D como soporte común de la ablación de fusión; Attention U-Net 3D como variante convolucional atencional; Swin-UNETR como arquitectura Transformer-UNet; y nnU-Net como </w:t>
      </w:r>
      <w:r w:rsidRPr="06910F8B" w:rsidR="6A5F4401">
        <w:rPr>
          <w:i w:val="1"/>
          <w:iCs w:val="1"/>
        </w:rPr>
        <w:t>baseline</w:t>
      </w:r>
      <w:r w:rsidR="6A5F4401">
        <w:rPr/>
        <w:t xml:space="preserve"> externo auto-configurable. Dentro de la familia residual se evaluaron cuatro configuraciones de entrada: concatenación, ponderación global, compuerta adaptativa basada en la media y compuerta adaptativa basada en media y desviación típica. La comparación de herramientas y repositorios que motivó esta selección se presenta en el Capítulo 2.</w:t>
      </w:r>
    </w:p>
    <w:p w:rsidR="06910F8B" w:rsidRDefault="06910F8B" w14:paraId="7564AA27" w14:textId="2DC9E4B3"/>
    <w:p w:rsidR="00914FAA" w:rsidRDefault="000E7DA8" w14:paraId="7CDE82F5" w14:textId="77777777">
      <w:pPr>
        <w:pStyle w:val="Ttulo2"/>
      </w:pPr>
      <w:bookmarkStart w:name="_Toc1905653453" w:id="68"/>
      <w:bookmarkStart w:name="X3c9b3c909de1016251f6f9a0ef1fff7604f96a2" w:id="69"/>
      <w:bookmarkEnd w:id="65"/>
      <w:r w:rsidR="6A5F4401">
        <w:rPr/>
        <w:t>4.2. Análisis y preparación de los datos (Fase 2)</w:t>
      </w:r>
      <w:bookmarkEnd w:id="68"/>
    </w:p>
    <w:p w:rsidR="45AD8868" w:rsidP="06910F8B" w:rsidRDefault="45AD8868" w14:paraId="1FBE0F4E" w14:textId="0E94F4DA">
      <w:pPr>
        <w:pStyle w:val="Normal"/>
      </w:pPr>
      <w:commentRangeStart w:id="30"/>
      <w:r w:rsidR="45AD8868">
        <w:rPr/>
        <w:t>Esta fase transforma la colección original en una base experimental verificable antes de iniciar los entrenamientos. El proceso reúne tres tareas encadenadas: descubrir los estudios y sus modalidades a partir de una configuración común, comprobar la integridad y coherencia de los volúmenes y las etiquetas, y generar particiones reproducibles para entrenamiento, validación y test. Estas operaciones aseguran que todas las configuraciones se comparen sobre los mismos datos y dejan trazabilidad sobre los casos incluidos, los criterios de estratificación y la semilla utilizada. También permiten hacer explícita la unidad de separación adoptada —el estudio de imagen, no el sujeto— y las limitaciones que esta decisión introduce en la interpretación posterior.</w:t>
      </w:r>
      <w:commentRangeEnd w:id="30"/>
      <w:r>
        <w:rPr>
          <w:rStyle w:val="CommentReference"/>
        </w:rPr>
        <w:commentReference w:id="30"/>
      </w:r>
    </w:p>
    <w:p w:rsidR="00914FAA" w:rsidRDefault="000E7DA8" w14:paraId="7F52E48A" w14:textId="77777777">
      <w:pPr>
        <w:pStyle w:val="Ttulo3"/>
      </w:pPr>
      <w:bookmarkStart w:name="_Toc1887449603" w:id="70"/>
      <w:bookmarkStart w:name="Xcf193804b1b29948b4eb5cd6c8e0c63a3e4118e" w:id="71"/>
      <w:r>
        <w:t>4.2.1. Conjunto de datos y descubrimiento de estudios</w:t>
      </w:r>
      <w:bookmarkEnd w:id="70"/>
    </w:p>
    <w:p w:rsidR="00914FAA" w:rsidRDefault="000E7DA8" w14:paraId="2A1685EF" w14:textId="77777777">
      <w:r w:rsidR="6A5F4401">
        <w:rPr/>
        <w:t xml:space="preserve">El alcance experimental se limita a </w:t>
      </w:r>
      <w:r w:rsidRPr="06910F8B" w:rsidR="6A5F4401">
        <w:rPr>
          <w:b w:val="1"/>
          <w:bCs w:val="1"/>
        </w:rPr>
        <w:t>BraTS-GLI 2024 post-tratamiento</w:t>
      </w:r>
      <w:r w:rsidR="6A5F4401">
        <w:rPr/>
        <w:t xml:space="preserve">, sin mezclar tareas de otras colecciones BraTS. Cada estudio aporta cuatro volúmenes MRI 3D en formato NIfTI y su máscara de segmentación. La configuración </w:t>
      </w:r>
      <w:r w:rsidRPr="06910F8B" w:rsidR="6A5F4401">
        <w:rPr>
          <w:rFonts w:ascii="Consolas" w:hAnsi="Consolas" w:eastAsia="Consolas" w:cs="Consolas"/>
        </w:rPr>
        <w:t>configs/dataset/brats_gli_2024.yaml</w:t>
      </w:r>
      <w:r w:rsidR="6A5F4401">
        <w:rPr/>
        <w:t xml:space="preserve"> declara la raíz de datos, los directorios training_data1_v2 y training_data_additional, las modalidades y el sufijo de la máscara. El módulo </w:t>
      </w:r>
      <w:r w:rsidRPr="06910F8B" w:rsidR="6A5F4401">
        <w:rPr>
          <w:rFonts w:ascii="Consolas" w:hAnsi="Consolas" w:eastAsia="Consolas" w:cs="Consolas"/>
          <w:color w:val="auto"/>
          <w:sz w:val="22"/>
          <w:szCs w:val="22"/>
          <w:lang w:eastAsia="en-US" w:bidi="ar-SA"/>
        </w:rPr>
        <w:t>tfm_brats/brats.py</w:t>
      </w:r>
      <w:r w:rsidR="6A5F4401">
        <w:rPr/>
        <w:t xml:space="preserve"> recorre ambos directorios, selecciona las carpetas con prefijo BraTS-GLI- y construye las rutas mediante el patrón </w:t>
      </w:r>
      <w:r w:rsidRPr="06910F8B" w:rsidR="6A5F4401">
        <w:rPr>
          <w:rFonts w:ascii="Consolas" w:hAnsi="Consolas" w:eastAsia="Consolas" w:cs="Consolas"/>
          <w:color w:val="auto"/>
          <w:sz w:val="22"/>
          <w:szCs w:val="22"/>
          <w:lang w:eastAsia="en-US" w:bidi="ar-SA"/>
        </w:rPr>
        <w:t>{identificador}-{modalidad}.nii.gz.</w:t>
      </w:r>
    </w:p>
    <w:p w:rsidR="06910F8B" w:rsidP="06910F8B" w:rsidRDefault="06910F8B" w14:paraId="1A830FE3" w14:textId="661D09EE">
      <w:pPr>
        <w:rPr>
          <w:rFonts w:ascii="Consolas" w:hAnsi="Consolas" w:eastAsia="Consolas" w:cs="Consolas"/>
          <w:color w:val="auto"/>
          <w:sz w:val="22"/>
          <w:szCs w:val="22"/>
          <w:lang w:eastAsia="en-US" w:bidi="ar-SA"/>
        </w:rPr>
      </w:pPr>
    </w:p>
    <w:p w:rsidR="00914FAA" w:rsidRDefault="000E7DA8" w14:paraId="3D1CE8C8" w14:textId="77777777">
      <w:pPr>
        <w:pStyle w:val="Ttulo3"/>
      </w:pPr>
      <w:bookmarkStart w:name="_Toc2139579394" w:id="72"/>
      <w:bookmarkStart w:name="control-de-calidad" w:id="73"/>
      <w:bookmarkEnd w:id="67"/>
      <w:r>
        <w:t>4.2.2. Control de calidad</w:t>
      </w:r>
      <w:bookmarkEnd w:id="72"/>
    </w:p>
    <w:p w:rsidR="00914FAA" w:rsidRDefault="000E7DA8" w14:paraId="191B1B06" w14:textId="77777777">
      <w:commentRangeStart w:id="31"/>
      <w:r w:rsidR="6A5F4401">
        <w:rPr/>
        <w:t xml:space="preserve">Antes de entrenar se ejecutó el subcomando </w:t>
      </w:r>
      <w:r w:rsidRPr="06910F8B" w:rsidR="6A5F4401">
        <w:rPr>
          <w:rFonts w:ascii="Consolas" w:hAnsi="Consolas" w:eastAsia="Consolas" w:cs="Consolas"/>
        </w:rPr>
        <w:t>qc</w:t>
      </w:r>
      <w:r w:rsidR="6A5F4401">
        <w:rPr/>
        <w:t xml:space="preserve">, que verifica la presencia de las cuatro modalidades y de la máscara, la coherencia de dimensiones, espaciado y transformaciones afines, y la ausencia de etiquetas no permitidas. También calcula los </w:t>
      </w:r>
      <w:r w:rsidR="6A5F4401">
        <w:rPr/>
        <w:t>volúmenes de ET, TC y WT que después se emplean para la estratificación. De este modo se comprobó la integridad de los estudios antes de invertir recursos de entrenamiento.</w:t>
      </w:r>
      <w:commentRangeEnd w:id="31"/>
      <w:r>
        <w:rPr>
          <w:rStyle w:val="CommentReference"/>
        </w:rPr>
        <w:commentReference w:id="31"/>
      </w:r>
    </w:p>
    <w:p w:rsidR="06910F8B" w:rsidRDefault="06910F8B" w14:paraId="1915D9B3" w14:textId="12909563"/>
    <w:p w:rsidR="00914FAA" w:rsidRDefault="000E7DA8" w14:paraId="3FE86AE7" w14:textId="77777777">
      <w:pPr>
        <w:pStyle w:val="Ttulo3"/>
      </w:pPr>
      <w:bookmarkStart w:name="_Toc521201168" w:id="74"/>
      <w:bookmarkStart w:name="X96f878e379a6fae3eb9013160a28083f8240e47" w:id="75"/>
      <w:bookmarkEnd w:id="69"/>
      <w:r>
        <w:t>4.2.3. Particiones estratificadas y reproducibles</w:t>
      </w:r>
      <w:bookmarkEnd w:id="74"/>
    </w:p>
    <w:p w:rsidR="00914FAA" w:rsidRDefault="000E7DA8" w14:paraId="525A02D3" w14:textId="77777777">
      <w:commentRangeStart w:id="32"/>
      <w:r w:rsidR="6A5F4401">
        <w:rPr/>
        <w:t xml:space="preserve">La partición se generó con </w:t>
      </w:r>
      <w:r w:rsidRPr="06910F8B" w:rsidR="6A5F4401">
        <w:rPr>
          <w:rFonts w:ascii="Consolas" w:hAnsi="Consolas" w:eastAsia="Consolas" w:cs="Consolas"/>
        </w:rPr>
        <w:t>tfm_brats/splits.py</w:t>
      </w:r>
      <w:r w:rsidR="6A5F4401">
        <w:rPr/>
        <w:t xml:space="preserve"> sobre </w:t>
      </w:r>
      <w:r w:rsidRPr="06910F8B" w:rsidR="6A5F4401">
        <w:rPr>
          <w:b w:val="1"/>
          <w:bCs w:val="1"/>
        </w:rPr>
        <w:t>1.621 estudios</w:t>
      </w:r>
      <w:r w:rsidR="6A5F4401">
        <w:rPr/>
        <w:t xml:space="preserve"> y con la semilla 20260526. El algoritmo combina tres factores en una única clave de estratificación: directorio de origen, presencia o ausencia de ET y volumen de WT discretizado en cuatro cuantiles. Los resultados se materializan en </w:t>
      </w:r>
      <w:r w:rsidRPr="06910F8B" w:rsidR="6A5F4401">
        <w:rPr>
          <w:rFonts w:ascii="Consolas" w:hAnsi="Consolas" w:eastAsia="Consolas" w:cs="Consolas"/>
        </w:rPr>
        <w:t>outputs/splits/brats_gli_2024_seed20260526/</w:t>
      </w:r>
      <w:r w:rsidR="6A5F4401">
        <w:rPr/>
        <w:t xml:space="preserve"> como ficheros CSV y TXT, junto con un manifiesto que registra la semilla, las proporciones y la distribución obtenida. La Tabla 6 presenta el tamaño y el uso de cada partición.</w:t>
      </w:r>
      <w:commentRangeEnd w:id="32"/>
      <w:r>
        <w:rPr>
          <w:rStyle w:val="CommentReference"/>
        </w:rPr>
        <w:commentReference w:id="32"/>
      </w:r>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14FAA" w:rsidTr="06910F8B" w14:paraId="6A444549" w14:textId="77777777">
        <w:trPr>
          <w:cantSplit/>
          <w:tblHeader/>
          <w:jc w:val="center"/>
        </w:trPr>
        <w:tc>
          <w:tcPr>
            <w:tcW w:w="2126" w:type="dxa"/>
            <w:shd w:val="clear" w:color="auto" w:fill="ED7D31"/>
            <w:tcMar>
              <w:top w:w="70" w:type="dxa"/>
              <w:left w:w="70" w:type="dxa"/>
              <w:bottom w:w="70" w:type="dxa"/>
              <w:right w:w="70" w:type="dxa"/>
            </w:tcMar>
            <w:vAlign w:val="center"/>
          </w:tcPr>
          <w:p w:rsidR="00914FAA" w:rsidP="06910F8B" w:rsidRDefault="000E7DA8" w14:paraId="622B2980"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Partición</w:t>
            </w:r>
          </w:p>
        </w:tc>
        <w:tc>
          <w:tcPr>
            <w:tcW w:w="2126" w:type="dxa"/>
            <w:shd w:val="clear" w:color="auto" w:fill="ED7D31"/>
            <w:tcMar>
              <w:top w:w="70" w:type="dxa"/>
              <w:left w:w="70" w:type="dxa"/>
              <w:bottom w:w="70" w:type="dxa"/>
              <w:right w:w="70" w:type="dxa"/>
            </w:tcMar>
            <w:vAlign w:val="center"/>
          </w:tcPr>
          <w:p w:rsidR="00914FAA" w:rsidP="06910F8B" w:rsidRDefault="000E7DA8" w14:paraId="2CE3ECF7"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Estudios</w:t>
            </w:r>
          </w:p>
        </w:tc>
        <w:tc>
          <w:tcPr>
            <w:tcW w:w="2126" w:type="dxa"/>
            <w:shd w:val="clear" w:color="auto" w:fill="ED7D31"/>
            <w:tcMar>
              <w:top w:w="70" w:type="dxa"/>
              <w:left w:w="70" w:type="dxa"/>
              <w:bottom w:w="70" w:type="dxa"/>
              <w:right w:w="70" w:type="dxa"/>
            </w:tcMar>
            <w:vAlign w:val="center"/>
          </w:tcPr>
          <w:p w:rsidR="00914FAA" w:rsidP="06910F8B" w:rsidRDefault="000E7DA8" w14:paraId="3F0694ED"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Proporción</w:t>
            </w:r>
          </w:p>
        </w:tc>
        <w:tc>
          <w:tcPr>
            <w:tcW w:w="2126" w:type="dxa"/>
            <w:shd w:val="clear" w:color="auto" w:fill="ED7D31"/>
            <w:tcMar>
              <w:top w:w="70" w:type="dxa"/>
              <w:left w:w="70" w:type="dxa"/>
              <w:bottom w:w="70" w:type="dxa"/>
              <w:right w:w="70" w:type="dxa"/>
            </w:tcMar>
            <w:vAlign w:val="center"/>
          </w:tcPr>
          <w:p w:rsidR="00914FAA" w:rsidP="06910F8B" w:rsidRDefault="000E7DA8" w14:paraId="7A8C0FBA"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Uso</w:t>
            </w:r>
          </w:p>
        </w:tc>
      </w:tr>
      <w:tr w:rsidR="00914FAA" w:rsidTr="06910F8B" w14:paraId="12B3CA86"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5822DEF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Entrenamiento</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4CD023E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1.135</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67FD8ED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70 %</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055E6E2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Ajuste de los parámetros de los modelos MONAI y conjunto de origen de nnU-Net</w:t>
            </w:r>
          </w:p>
        </w:tc>
      </w:tr>
      <w:tr w:rsidR="00914FAA" w:rsidTr="06910F8B" w14:paraId="108C676C" w14:textId="77777777">
        <w:trPr>
          <w:cantSplit/>
          <w:jc w:val="center"/>
        </w:trPr>
        <w:tc>
          <w:tcPr>
            <w:tcW w:w="2126" w:type="dxa"/>
            <w:shd w:val="clear" w:color="auto" w:fill="FCE4D6"/>
            <w:tcMar>
              <w:top w:w="70" w:type="dxa"/>
              <w:left w:w="70" w:type="dxa"/>
              <w:bottom w:w="70" w:type="dxa"/>
              <w:right w:w="70" w:type="dxa"/>
            </w:tcMar>
            <w:vAlign w:val="center"/>
          </w:tcPr>
          <w:p w:rsidR="00914FAA" w:rsidP="06910F8B" w:rsidRDefault="000E7DA8" w14:paraId="166D24B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Validación</w:t>
            </w:r>
          </w:p>
        </w:tc>
        <w:tc>
          <w:tcPr>
            <w:tcW w:w="2126" w:type="dxa"/>
            <w:shd w:val="clear" w:color="auto" w:fill="FCE4D6"/>
            <w:tcMar>
              <w:top w:w="70" w:type="dxa"/>
              <w:left w:w="70" w:type="dxa"/>
              <w:bottom w:w="70" w:type="dxa"/>
              <w:right w:w="70" w:type="dxa"/>
            </w:tcMar>
            <w:vAlign w:val="center"/>
          </w:tcPr>
          <w:p w:rsidR="00914FAA" w:rsidP="06910F8B" w:rsidRDefault="000E7DA8" w14:paraId="74253BA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243</w:t>
            </w:r>
          </w:p>
        </w:tc>
        <w:tc>
          <w:tcPr>
            <w:tcW w:w="2126" w:type="dxa"/>
            <w:shd w:val="clear" w:color="auto" w:fill="FCE4D6"/>
            <w:tcMar>
              <w:top w:w="70" w:type="dxa"/>
              <w:left w:w="70" w:type="dxa"/>
              <w:bottom w:w="70" w:type="dxa"/>
              <w:right w:w="70" w:type="dxa"/>
            </w:tcMar>
            <w:vAlign w:val="center"/>
          </w:tcPr>
          <w:p w:rsidR="00914FAA" w:rsidP="06910F8B" w:rsidRDefault="000E7DA8" w14:paraId="536DFC4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15 %</w:t>
            </w:r>
          </w:p>
        </w:tc>
        <w:tc>
          <w:tcPr>
            <w:tcW w:w="2126" w:type="dxa"/>
            <w:shd w:val="clear" w:color="auto" w:fill="FCE4D6"/>
            <w:tcMar>
              <w:top w:w="70" w:type="dxa"/>
              <w:left w:w="70" w:type="dxa"/>
              <w:bottom w:w="70" w:type="dxa"/>
              <w:right w:w="70" w:type="dxa"/>
            </w:tcMar>
            <w:vAlign w:val="center"/>
          </w:tcPr>
          <w:p w:rsidR="00914FAA" w:rsidP="06910F8B" w:rsidRDefault="000E7DA8" w14:paraId="3D736F9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 xml:space="preserve">Monitorización y selección de puntos de control en la </w:t>
            </w:r>
            <w:r w:rsidRPr="06910F8B" w:rsidR="6A5F4401">
              <w:rPr>
                <w:rFonts w:eastAsia="Arial"/>
                <w:i w:val="1"/>
                <w:iCs w:val="1"/>
                <w:color w:val="000000" w:themeColor="text1" w:themeTint="FF" w:themeShade="FF"/>
                <w:sz w:val="20"/>
                <w:szCs w:val="20"/>
              </w:rPr>
              <w:t>pipeline</w:t>
            </w:r>
            <w:r w:rsidRPr="06910F8B" w:rsidR="6A5F4401">
              <w:rPr>
                <w:rFonts w:eastAsia="Arial"/>
                <w:color w:val="000000" w:themeColor="text1" w:themeTint="FF" w:themeShade="FF"/>
                <w:sz w:val="20"/>
                <w:szCs w:val="20"/>
              </w:rPr>
              <w:t xml:space="preserve"> MONAI</w:t>
            </w:r>
          </w:p>
        </w:tc>
      </w:tr>
      <w:tr w:rsidR="00914FAA" w:rsidTr="06910F8B" w14:paraId="0E7E5BA8"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756847DD"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Test</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3C99DAE1"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243</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756EAB4C"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15 %</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31AE8057"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Evaluación final después de congelar las configuraciones</w:t>
            </w:r>
          </w:p>
        </w:tc>
      </w:tr>
    </w:tbl>
    <w:p w:rsidR="00914FAA" w:rsidRDefault="000E7DA8" w14:paraId="208EEB8A" w14:textId="77777777">
      <w:pPr>
        <w:pStyle w:val="Descripcin"/>
        <w:keepLines/>
      </w:pPr>
      <w:bookmarkStart w:name="_Toc235507364" w:id="76"/>
      <w:r>
        <w:rPr>
          <w:b/>
        </w:rPr>
        <w:t xml:space="preserve">Tabla </w:t>
      </w:r>
      <w:r>
        <w:fldChar w:fldCharType="begin"/>
      </w:r>
      <w:r>
        <w:instrText xml:space="preserve"> SEQ Tabla \* ARABIC </w:instrText>
      </w:r>
      <w:r>
        <w:fldChar w:fldCharType="separate"/>
      </w:r>
      <w:r>
        <w:rPr>
          <w:b/>
        </w:rPr>
        <w:t>6</w:t>
      </w:r>
      <w:r>
        <w:fldChar w:fldCharType="end"/>
      </w:r>
      <w:r>
        <w:rPr>
          <w:b/>
        </w:rPr>
        <w:t xml:space="preserve">. </w:t>
      </w:r>
      <w:r>
        <w:t>Distribución de las particiones de BraTS-GLI 2024.</w:t>
      </w:r>
      <w:bookmarkEnd w:id="76"/>
    </w:p>
    <w:p w:rsidR="00914FAA" w:rsidRDefault="000E7DA8" w14:paraId="25EEC6C1" w14:textId="4665A8AA">
      <w:r w:rsidR="6A5F4401">
        <w:rPr/>
        <w:t>La tabla muestra que validación y test tienen el mismo tamaño, pero desempeñan funciones distintas</w:t>
      </w:r>
      <w:r w:rsidR="13CBBBB6">
        <w:rPr/>
        <w:t>.</w:t>
      </w:r>
      <w:r w:rsidR="6A5F4401">
        <w:rPr/>
        <w:t xml:space="preserve"> </w:t>
      </w:r>
      <w:r w:rsidR="2AC35FD7">
        <w:rPr/>
        <w:t>E</w:t>
      </w:r>
      <w:r w:rsidR="6A5F4401">
        <w:rPr/>
        <w:t>l test</w:t>
      </w:r>
      <w:r w:rsidR="6A5F4401">
        <w:rPr/>
        <w:t xml:space="preserve"> no intervino en la selección de best.pt. La separación se realizó por identificador completo de </w:t>
      </w:r>
      <w:r w:rsidRPr="06910F8B" w:rsidR="6A5F4401">
        <w:rPr>
          <w:b w:val="1"/>
          <w:bCs w:val="1"/>
        </w:rPr>
        <w:t>estudio de imagen</w:t>
      </w:r>
      <w:r w:rsidR="6A5F4401">
        <w:rPr/>
        <w:t xml:space="preserve">, no mediante agrupación por sujeto. En consecuencia, no existen estudios repetidos entre particiones, pero 205 de los 243 estudios </w:t>
      </w:r>
      <w:r w:rsidR="6A5F4401">
        <w:rPr/>
        <w:t>de test</w:t>
      </w:r>
      <w:r w:rsidR="6A5F4401">
        <w:rPr/>
        <w:t xml:space="preserve"> pertenecen a sujetos con otro estudio en entrenamiento o validación. Los 38 estudios restantes corresponden a 29 sujetos no representados en esas particiones. Esta decisión permite la comparación interna bajo un reparto común, pero impide interpretar </w:t>
      </w:r>
      <w:r w:rsidR="6A5F4401">
        <w:rPr/>
        <w:t>el test</w:t>
      </w:r>
      <w:r w:rsidR="6A5F4401">
        <w:rPr/>
        <w:t xml:space="preserve"> como una estimación independiente de generalización a pacientes completamente nuevos.</w:t>
      </w:r>
    </w:p>
    <w:p w:rsidR="06910F8B" w:rsidRDefault="06910F8B" w14:paraId="3F00604B" w14:textId="55B4F7D0"/>
    <w:p w:rsidR="00914FAA" w:rsidRDefault="000E7DA8" w14:paraId="544BA7BD" w14:textId="77777777">
      <w:pPr>
        <w:pStyle w:val="Ttulo2"/>
      </w:pPr>
      <w:bookmarkStart w:name="_Toc1508571349" w:id="77"/>
      <w:bookmarkStart w:name="X441ae69cec1338e92f23076c017d1a186fe1461" w:id="78"/>
      <w:bookmarkEnd w:id="71"/>
      <w:bookmarkEnd w:id="73"/>
      <w:r w:rsidR="6A5F4401">
        <w:rPr/>
        <w:t xml:space="preserve">4.3. Diseño e implementación del </w:t>
      </w:r>
      <w:r w:rsidRPr="06910F8B" w:rsidR="6A5F4401">
        <w:rPr>
          <w:i w:val="1"/>
          <w:iCs w:val="1"/>
        </w:rPr>
        <w:t>pipeline</w:t>
      </w:r>
      <w:r w:rsidR="6A5F4401">
        <w:rPr/>
        <w:t xml:space="preserve"> (Fase 3)</w:t>
      </w:r>
      <w:bookmarkEnd w:id="77"/>
    </w:p>
    <w:p w:rsidR="0B9989D4" w:rsidP="06910F8B" w:rsidRDefault="0B9989D4" w14:paraId="0D194CDB" w14:textId="6CED1205">
      <w:pPr>
        <w:pStyle w:val="Normal"/>
      </w:pPr>
      <w:commentRangeStart w:id="33"/>
      <w:r w:rsidR="0B9989D4">
        <w:rPr/>
        <w:t xml:space="preserve">Esta fase convierte los requisitos definidos en la metodología en un pipeline ejecutable y reproducible. Las subsecciones avanzan desde la infraestructura hasta los componentes del modelo: primero se describen los entornos de cómputo, la organización del código y el flujo de trabajo. Después se formalizan las entradas y salidas y se detallan el preprocesamiento y el aumento de datos. Por último, se presentan la </w:t>
      </w:r>
      <w:r w:rsidR="0B9989D4">
        <w:rPr/>
        <w:t>factory</w:t>
      </w:r>
      <w:r w:rsidR="0B9989D4">
        <w:rPr/>
        <w:t xml:space="preserve"> de modelos y los mecanismos de fusión. Esta secuencia permite distinguir la infraestructura compartida por los experimentos MONAI de la ruta externa de </w:t>
      </w:r>
      <w:r w:rsidR="0B9989D4">
        <w:rPr/>
        <w:t>nnU</w:t>
      </w:r>
      <w:r w:rsidR="0B9989D4">
        <w:rPr/>
        <w:t>-Net, y reserva para la Fase 4 las decisiones de entrenamiento y ejecución. El resultado es la base técnica común sobre la que se realizan las comparaciones y se aísla la estrategia de fusión como variable principal de la ablación.</w:t>
      </w:r>
      <w:commentRangeEnd w:id="33"/>
      <w:r>
        <w:rPr>
          <w:rStyle w:val="CommentReference"/>
        </w:rPr>
        <w:commentReference w:id="33"/>
      </w:r>
    </w:p>
    <w:p w:rsidR="06910F8B" w:rsidP="06910F8B" w:rsidRDefault="06910F8B" w14:paraId="455987E6" w14:textId="4678D173">
      <w:pPr>
        <w:pStyle w:val="Normal"/>
      </w:pPr>
    </w:p>
    <w:p w:rsidR="00914FAA" w:rsidRDefault="000E7DA8" w14:paraId="756EDE64" w14:textId="77777777">
      <w:pPr>
        <w:pStyle w:val="Ttulo3"/>
      </w:pPr>
      <w:bookmarkStart w:name="_Toc1755638597" w:id="79"/>
      <w:bookmarkStart w:name="entornos-de-cómputo" w:id="80"/>
      <w:r>
        <w:t>4.3.1. Entornos de cómputo</w:t>
      </w:r>
      <w:bookmarkEnd w:id="79"/>
    </w:p>
    <w:p w:rsidR="00914FAA" w:rsidRDefault="000E7DA8" w14:paraId="39568F46" w14:textId="77777777">
      <w:commentRangeStart w:id="34"/>
      <w:r>
        <w:t>El desarrollo y las corridas finales se repartieron entre un equipo local y Google Colab. La Tabla 7 identifica el entorno efectivo de cada grupo experimental y el tratamiento de la precisión mixta.</w:t>
      </w:r>
      <w:commentRangeEnd w:id="34"/>
      <w:r>
        <w:rPr>
          <w:rStyle w:val="CommentReference"/>
        </w:rPr>
        <w:commentReference w:id="34"/>
      </w:r>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14FAA" w:rsidTr="06910F8B" w14:paraId="70F4D0B1" w14:textId="77777777">
        <w:trPr>
          <w:cantSplit/>
          <w:tblHeader/>
          <w:jc w:val="center"/>
        </w:trPr>
        <w:tc>
          <w:tcPr>
            <w:tcW w:w="2126" w:type="dxa"/>
            <w:shd w:val="clear" w:color="auto" w:fill="ED7D31"/>
            <w:tcMar>
              <w:top w:w="70" w:type="dxa"/>
              <w:left w:w="70" w:type="dxa"/>
              <w:bottom w:w="70" w:type="dxa"/>
              <w:right w:w="70" w:type="dxa"/>
            </w:tcMar>
            <w:vAlign w:val="center"/>
          </w:tcPr>
          <w:p w:rsidR="00914FAA" w:rsidP="06910F8B" w:rsidRDefault="000E7DA8" w14:paraId="48C34E77"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Entorno</w:t>
            </w:r>
          </w:p>
        </w:tc>
        <w:tc>
          <w:tcPr>
            <w:tcW w:w="2126" w:type="dxa"/>
            <w:shd w:val="clear" w:color="auto" w:fill="ED7D31"/>
            <w:tcMar>
              <w:top w:w="70" w:type="dxa"/>
              <w:left w:w="70" w:type="dxa"/>
              <w:bottom w:w="70" w:type="dxa"/>
              <w:right w:w="70" w:type="dxa"/>
            </w:tcMar>
            <w:vAlign w:val="center"/>
          </w:tcPr>
          <w:p w:rsidR="00914FAA" w:rsidP="06910F8B" w:rsidRDefault="000E7DA8" w14:paraId="07A60380"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Dispositivo</w:t>
            </w:r>
          </w:p>
        </w:tc>
        <w:tc>
          <w:tcPr>
            <w:tcW w:w="2126" w:type="dxa"/>
            <w:shd w:val="clear" w:color="auto" w:fill="ED7D31"/>
            <w:tcMar>
              <w:top w:w="70" w:type="dxa"/>
              <w:left w:w="70" w:type="dxa"/>
              <w:bottom w:w="70" w:type="dxa"/>
              <w:right w:w="70" w:type="dxa"/>
            </w:tcMar>
            <w:vAlign w:val="center"/>
          </w:tcPr>
          <w:p w:rsidR="00914FAA" w:rsidP="06910F8B" w:rsidRDefault="000E7DA8" w14:paraId="06E0F7EE"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Precisión mixta</w:t>
            </w:r>
          </w:p>
        </w:tc>
        <w:tc>
          <w:tcPr>
            <w:tcW w:w="2126" w:type="dxa"/>
            <w:shd w:val="clear" w:color="auto" w:fill="ED7D31"/>
            <w:tcMar>
              <w:top w:w="70" w:type="dxa"/>
              <w:left w:w="70" w:type="dxa"/>
              <w:bottom w:w="70" w:type="dxa"/>
              <w:right w:w="70" w:type="dxa"/>
            </w:tcMar>
            <w:vAlign w:val="center"/>
          </w:tcPr>
          <w:p w:rsidR="00914FAA" w:rsidP="06910F8B" w:rsidRDefault="000E7DA8" w14:paraId="7F94224D"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Uso final</w:t>
            </w:r>
          </w:p>
        </w:tc>
      </w:tr>
      <w:tr w:rsidR="00914FAA" w:rsidTr="06910F8B" w14:paraId="3B94BC53"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7AF705B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Local</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71A3419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 xml:space="preserve">Apple M4 Pro, </w:t>
            </w:r>
            <w:r w:rsidRPr="06910F8B" w:rsidR="6A5F4401">
              <w:rPr>
                <w:rFonts w:eastAsia="Arial"/>
                <w:i w:val="1"/>
                <w:iCs w:val="1"/>
                <w:color w:val="000000" w:themeColor="text1" w:themeTint="FF" w:themeShade="FF"/>
                <w:sz w:val="20"/>
                <w:szCs w:val="20"/>
              </w:rPr>
              <w:t>backend</w:t>
            </w:r>
            <w:r w:rsidRPr="06910F8B" w:rsidR="6A5F4401">
              <w:rPr>
                <w:rFonts w:eastAsia="Arial"/>
                <w:color w:val="000000" w:themeColor="text1" w:themeTint="FF" w:themeShade="FF"/>
                <w:sz w:val="20"/>
                <w:szCs w:val="20"/>
              </w:rPr>
              <w:t xml:space="preserve"> MPS</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1F17AD99"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Desactivada</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6A6B9089"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Cuatro configuraciones de fusión sobre la Residual U-Net 3D</w:t>
            </w:r>
          </w:p>
        </w:tc>
      </w:tr>
      <w:tr w:rsidR="00914FAA" w:rsidTr="06910F8B" w14:paraId="7D9A520B" w14:textId="77777777">
        <w:trPr>
          <w:cantSplit/>
          <w:jc w:val="center"/>
        </w:trPr>
        <w:tc>
          <w:tcPr>
            <w:tcW w:w="2126" w:type="dxa"/>
            <w:shd w:val="clear" w:color="auto" w:fill="FCE4D6"/>
            <w:tcMar>
              <w:top w:w="70" w:type="dxa"/>
              <w:left w:w="70" w:type="dxa"/>
              <w:bottom w:w="70" w:type="dxa"/>
              <w:right w:w="70" w:type="dxa"/>
            </w:tcMar>
            <w:vAlign w:val="center"/>
          </w:tcPr>
          <w:p w:rsidR="00914FAA" w:rsidP="06910F8B" w:rsidRDefault="000E7DA8" w14:paraId="54098CD9"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Google Colab</w:t>
            </w:r>
          </w:p>
        </w:tc>
        <w:tc>
          <w:tcPr>
            <w:tcW w:w="2126" w:type="dxa"/>
            <w:shd w:val="clear" w:color="auto" w:fill="FCE4D6"/>
            <w:tcMar>
              <w:top w:w="70" w:type="dxa"/>
              <w:left w:w="70" w:type="dxa"/>
              <w:bottom w:w="70" w:type="dxa"/>
              <w:right w:w="70" w:type="dxa"/>
            </w:tcMar>
            <w:vAlign w:val="center"/>
          </w:tcPr>
          <w:p w:rsidR="00914FAA" w:rsidP="06910F8B" w:rsidRDefault="000E7DA8" w14:paraId="0D6D52B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NVIDIA A100, CUDA</w:t>
            </w:r>
          </w:p>
        </w:tc>
        <w:tc>
          <w:tcPr>
            <w:tcW w:w="2126" w:type="dxa"/>
            <w:shd w:val="clear" w:color="auto" w:fill="FCE4D6"/>
            <w:tcMar>
              <w:top w:w="70" w:type="dxa"/>
              <w:left w:w="70" w:type="dxa"/>
              <w:bottom w:w="70" w:type="dxa"/>
              <w:right w:w="70" w:type="dxa"/>
            </w:tcMar>
            <w:vAlign w:val="center"/>
          </w:tcPr>
          <w:p w:rsidR="00914FAA" w:rsidP="06910F8B" w:rsidRDefault="000E7DA8" w14:paraId="360B60A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 xml:space="preserve">AMP activada en la </w:t>
            </w:r>
            <w:r w:rsidRPr="06910F8B" w:rsidR="6A5F4401">
              <w:rPr>
                <w:rFonts w:eastAsia="Arial"/>
                <w:i w:val="1"/>
                <w:iCs w:val="1"/>
                <w:color w:val="000000" w:themeColor="text1" w:themeTint="FF" w:themeShade="FF"/>
                <w:sz w:val="20"/>
                <w:szCs w:val="20"/>
              </w:rPr>
              <w:t>pipeline</w:t>
            </w:r>
            <w:r w:rsidRPr="06910F8B" w:rsidR="6A5F4401">
              <w:rPr>
                <w:rFonts w:eastAsia="Arial"/>
                <w:color w:val="000000" w:themeColor="text1" w:themeTint="FF" w:themeShade="FF"/>
                <w:sz w:val="20"/>
                <w:szCs w:val="20"/>
              </w:rPr>
              <w:t xml:space="preserve"> MONAI</w:t>
            </w:r>
          </w:p>
        </w:tc>
        <w:tc>
          <w:tcPr>
            <w:tcW w:w="2126" w:type="dxa"/>
            <w:shd w:val="clear" w:color="auto" w:fill="FCE4D6"/>
            <w:tcMar>
              <w:top w:w="70" w:type="dxa"/>
              <w:left w:w="70" w:type="dxa"/>
              <w:bottom w:w="70" w:type="dxa"/>
              <w:right w:w="70" w:type="dxa"/>
            </w:tcMar>
            <w:vAlign w:val="center"/>
          </w:tcPr>
          <w:p w:rsidR="00914FAA" w:rsidP="06910F8B" w:rsidRDefault="000E7DA8" w14:paraId="6D8760D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Attention U-Net 3D y Swin-UNETR</w:t>
            </w:r>
          </w:p>
        </w:tc>
      </w:tr>
      <w:tr w:rsidR="00914FAA" w:rsidTr="06910F8B" w14:paraId="59731745"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244A76A5"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Google Colab</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57B65B27"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NVIDIA A100, CUDA</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09D3BE63"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Gestionada por nnU-Net</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1B3B9FED"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 xml:space="preserve">nnU-Net 3d_fullres, </w:t>
            </w:r>
            <w:r w:rsidRPr="06910F8B" w:rsidR="6A5F4401">
              <w:rPr>
                <w:rFonts w:eastAsia="Arial"/>
                <w:i w:val="1"/>
                <w:iCs w:val="1"/>
                <w:color w:val="000000" w:themeColor="text1" w:themeTint="FF" w:themeShade="FF"/>
                <w:sz w:val="20"/>
                <w:szCs w:val="20"/>
              </w:rPr>
              <w:t>fold</w:t>
            </w:r>
            <w:r w:rsidRPr="06910F8B" w:rsidR="6A5F4401">
              <w:rPr>
                <w:rFonts w:eastAsia="Arial"/>
                <w:color w:val="000000" w:themeColor="text1" w:themeTint="FF" w:themeShade="FF"/>
                <w:sz w:val="20"/>
                <w:szCs w:val="20"/>
              </w:rPr>
              <w:t xml:space="preserve"> 0</w:t>
            </w:r>
          </w:p>
        </w:tc>
      </w:tr>
    </w:tbl>
    <w:p w:rsidR="00914FAA" w:rsidRDefault="000E7DA8" w14:paraId="2F50998B" w14:textId="77777777">
      <w:pPr>
        <w:pStyle w:val="Descripcin"/>
        <w:keepLines/>
      </w:pPr>
      <w:bookmarkStart w:name="_Toc235507365" w:id="81"/>
      <w:r>
        <w:rPr>
          <w:b/>
        </w:rPr>
        <w:t xml:space="preserve">Tabla </w:t>
      </w:r>
      <w:r>
        <w:fldChar w:fldCharType="begin"/>
      </w:r>
      <w:r>
        <w:instrText xml:space="preserve"> SEQ Tabla \* ARABIC </w:instrText>
      </w:r>
      <w:r>
        <w:fldChar w:fldCharType="separate"/>
      </w:r>
      <w:r>
        <w:rPr>
          <w:b/>
        </w:rPr>
        <w:t>7</w:t>
      </w:r>
      <w:r>
        <w:fldChar w:fldCharType="end"/>
      </w:r>
      <w:r>
        <w:rPr>
          <w:b/>
        </w:rPr>
        <w:t xml:space="preserve">. </w:t>
      </w:r>
      <w:r>
        <w:t>Entornos utilizados en las corridas finales.</w:t>
      </w:r>
      <w:bookmarkEnd w:id="81"/>
    </w:p>
    <w:p w:rsidR="00914FAA" w:rsidRDefault="000E7DA8" w14:paraId="421F3D6A" w14:textId="77777777">
      <w:r w:rsidR="6A5F4401">
        <w:rPr/>
        <w:t xml:space="preserve">Esta distribución permitió reservar la A100 para los modelos de mayor coste y para nnU-Net. También introduce diferencias de dispositivo y precisión entre grupos, por lo que los tiempos de pared y la comparación global de arquitecturas se interpretan de forma descriptiva. Para reducir el cuello de botella de Google Drive, los datos usados en la nube se copiaron al disco local del </w:t>
      </w:r>
      <w:r w:rsidRPr="06910F8B" w:rsidR="6A5F4401">
        <w:rPr>
          <w:i w:val="1"/>
          <w:iCs w:val="1"/>
        </w:rPr>
        <w:t>runtime</w:t>
      </w:r>
      <w:r w:rsidR="6A5F4401">
        <w:rPr/>
        <w:t xml:space="preserve"> antes de entrenar o preprocesar.</w:t>
      </w:r>
    </w:p>
    <w:p w:rsidR="06910F8B" w:rsidRDefault="06910F8B" w14:paraId="148FC59B" w14:textId="6DE7489E"/>
    <w:p w:rsidR="00914FAA" w:rsidRDefault="000E7DA8" w14:paraId="4383F622" w14:textId="77777777">
      <w:pPr>
        <w:pStyle w:val="Ttulo3"/>
      </w:pPr>
      <w:bookmarkStart w:name="_Toc1370704297" w:id="82"/>
      <w:bookmarkStart w:name="Xc8a19e92d9ffe777e6c7eac7ba16263b8cccc5c" w:id="83"/>
      <w:bookmarkEnd w:id="75"/>
      <w:r>
        <w:t>4.3.2. Organización del código y flujo de trabajo</w:t>
      </w:r>
      <w:bookmarkEnd w:id="82"/>
    </w:p>
    <w:p w:rsidR="00914FAA" w:rsidRDefault="000E7DA8" w14:paraId="38863C09" w14:textId="77777777">
      <w:commentRangeStart w:id="35"/>
      <w:r w:rsidR="6A5F4401">
        <w:rPr/>
        <w:t>El código se organiza como un paquete de Python (</w:t>
      </w:r>
      <w:r w:rsidRPr="06910F8B" w:rsidR="6A5F4401">
        <w:rPr>
          <w:rFonts w:ascii="Consolas" w:hAnsi="Consolas" w:eastAsia="Consolas" w:cs="Consolas"/>
        </w:rPr>
        <w:t>tfm_brats/</w:t>
      </w:r>
      <w:r w:rsidR="6A5F4401">
        <w:rPr/>
        <w:t>) y un árbol de configuraciones YAML (</w:t>
      </w:r>
      <w:r w:rsidRPr="06910F8B" w:rsidR="6A5F4401">
        <w:rPr>
          <w:rFonts w:ascii="Consolas" w:hAnsi="Consolas" w:eastAsia="Consolas" w:cs="Consolas"/>
        </w:rPr>
        <w:t>configs/</w:t>
      </w:r>
      <w:r w:rsidR="6A5F4401">
        <w:rPr/>
        <w:t xml:space="preserve">). Los módulos principales son </w:t>
      </w:r>
      <w:r w:rsidRPr="06910F8B" w:rsidR="6A5F4401">
        <w:rPr>
          <w:rFonts w:ascii="Consolas" w:hAnsi="Consolas" w:eastAsia="Consolas" w:cs="Consolas"/>
        </w:rPr>
        <w:t>brats.py</w:t>
      </w:r>
      <w:r w:rsidR="6A5F4401">
        <w:rPr/>
        <w:t xml:space="preserve">, para las convenciones del conjunto; </w:t>
      </w:r>
      <w:r w:rsidRPr="06910F8B" w:rsidR="6A5F4401">
        <w:rPr>
          <w:rFonts w:ascii="Consolas" w:hAnsi="Consolas" w:eastAsia="Consolas" w:cs="Consolas"/>
          <w:color w:val="auto"/>
          <w:sz w:val="22"/>
          <w:szCs w:val="22"/>
          <w:lang w:eastAsia="en-US" w:bidi="ar-SA"/>
        </w:rPr>
        <w:t>qc.py</w:t>
      </w:r>
      <w:r w:rsidR="6A5F4401">
        <w:rPr/>
        <w:t xml:space="preserve">, para el control de calidad; </w:t>
      </w:r>
      <w:r w:rsidRPr="06910F8B" w:rsidR="6A5F4401">
        <w:rPr>
          <w:rFonts w:ascii="Consolas" w:hAnsi="Consolas" w:eastAsia="Consolas" w:cs="Consolas"/>
          <w:color w:val="auto"/>
          <w:sz w:val="22"/>
          <w:szCs w:val="22"/>
          <w:lang w:eastAsia="en-US" w:bidi="ar-SA"/>
        </w:rPr>
        <w:t>splits.py</w:t>
      </w:r>
      <w:r w:rsidR="6A5F4401">
        <w:rPr/>
        <w:t xml:space="preserve">, para las particiones; </w:t>
      </w:r>
      <w:r w:rsidRPr="06910F8B" w:rsidR="6A5F4401">
        <w:rPr>
          <w:rFonts w:ascii="Consolas" w:hAnsi="Consolas" w:eastAsia="Consolas" w:cs="Consolas"/>
          <w:color w:val="auto"/>
          <w:sz w:val="22"/>
          <w:szCs w:val="22"/>
          <w:lang w:eastAsia="en-US" w:bidi="ar-SA"/>
        </w:rPr>
        <w:t>monai_pipeline.py</w:t>
      </w:r>
      <w:r w:rsidR="6A5F4401">
        <w:rPr/>
        <w:t xml:space="preserve">, para transformaciones, carga, modelos, entrenamiento, inferencia y puntos de control; </w:t>
      </w:r>
      <w:r w:rsidRPr="06910F8B" w:rsidR="6A5F4401">
        <w:rPr>
          <w:rFonts w:ascii="Consolas" w:hAnsi="Consolas" w:eastAsia="Consolas" w:cs="Consolas"/>
          <w:color w:val="auto"/>
          <w:sz w:val="22"/>
          <w:szCs w:val="22"/>
          <w:lang w:eastAsia="en-US" w:bidi="ar-SA"/>
        </w:rPr>
        <w:t>metrics.py</w:t>
      </w:r>
      <w:r w:rsidR="6A5F4401">
        <w:rPr/>
        <w:t xml:space="preserve">, para Dice y HD95; y </w:t>
      </w:r>
      <w:r w:rsidRPr="06910F8B" w:rsidR="6A5F4401">
        <w:rPr>
          <w:rFonts w:ascii="Consolas" w:hAnsi="Consolas" w:eastAsia="Consolas" w:cs="Consolas"/>
          <w:color w:val="auto"/>
          <w:sz w:val="22"/>
          <w:szCs w:val="22"/>
          <w:lang w:eastAsia="en-US" w:bidi="ar-SA"/>
        </w:rPr>
        <w:t>cli.py</w:t>
      </w:r>
      <w:r w:rsidR="6A5F4401">
        <w:rPr/>
        <w:t>, para la interfaz de línea de comandos.</w:t>
      </w:r>
      <w:commentRangeEnd w:id="35"/>
      <w:r>
        <w:rPr>
          <w:rStyle w:val="CommentReference"/>
        </w:rPr>
        <w:commentReference w:id="35"/>
      </w:r>
    </w:p>
    <w:p w:rsidR="00914FAA" w:rsidRDefault="000E7DA8" w14:paraId="10B9FC44" w14:textId="52175AC5">
      <w:r w:rsidR="6A5F4401">
        <w:rPr/>
        <w:t xml:space="preserve">Los experimentos MONAI se describen mediante una configuración de datos, otra de modelo y otra de entrenamiento. Las corridas finales añadieron argumentos explícitos de la CLI para la semilla, el dispositivo y, en el perfil local, el límite efectivo de 15.000 pasos. Por tanto, la unidad reproducible completa es la combinación de YAML y comando de ejecución, conservada en </w:t>
      </w:r>
      <w:r w:rsidRPr="06910F8B" w:rsidR="6A5F4401">
        <w:rPr>
          <w:rFonts w:ascii="Consolas" w:hAnsi="Consolas" w:eastAsia="Consolas" w:cs="Consolas"/>
        </w:rPr>
        <w:t>scratchpad/run_final_fusion_ablation.sh</w:t>
      </w:r>
      <w:r w:rsidR="6A5F4401">
        <w:rPr/>
        <w:t xml:space="preserve"> para la ablación local y en </w:t>
      </w:r>
      <w:r w:rsidRPr="06910F8B" w:rsidR="6A5F4401">
        <w:rPr>
          <w:rFonts w:ascii="Consolas" w:hAnsi="Consolas" w:eastAsia="Consolas" w:cs="Consolas"/>
        </w:rPr>
        <w:t>notebooks/colab_final_a100.ipynb</w:t>
      </w:r>
      <w:r w:rsidR="6A5F4401">
        <w:rPr/>
        <w:t xml:space="preserve"> para </w:t>
      </w:r>
      <w:r w:rsidR="6A5F4401">
        <w:rPr/>
        <w:t>Attention</w:t>
      </w:r>
      <w:r w:rsidR="6A5F4401">
        <w:rPr/>
        <w:t xml:space="preserve"> U-Net y Swin-UNETR. </w:t>
      </w:r>
      <w:r w:rsidR="6A5F4401">
        <w:rPr/>
        <w:t>nnU</w:t>
      </w:r>
      <w:r w:rsidR="6A5F4401">
        <w:rPr/>
        <w:t xml:space="preserve">-Net utiliza scripts y comandos nativos independientes, descritos en </w:t>
      </w:r>
      <w:r w:rsidR="2E614BE0">
        <w:rPr/>
        <w:t xml:space="preserve">la sección </w:t>
      </w:r>
      <w:r>
        <w:fldChar w:fldCharType="begin"/>
      </w:r>
      <w:r>
        <w:instrText xml:space="preserve">HYPERLINK  \l  "_4.4.5._nnU-Net_como" </w:instrText>
      </w:r>
      <w:r>
        <w:fldChar w:fldCharType="separate"/>
      </w:r>
      <w:r w:rsidRPr="06910F8B" w:rsidR="6A5F4401">
        <w:rPr>
          <w:rStyle w:val="Hipervnculo"/>
        </w:rPr>
        <w:t>4.4.5</w:t>
      </w:r>
      <w:r>
        <w:fldChar w:fldCharType="end"/>
      </w:r>
      <w:r w:rsidR="6A5F4401">
        <w:rPr/>
        <w:t>.</w:t>
      </w:r>
    </w:p>
    <w:p w:rsidR="00914FAA" w:rsidRDefault="000E7DA8" w14:paraId="4A0F6BC2" w14:textId="77777777">
      <w:r>
        <w:t>La CLI propia expone cinco subcomandos. La Tabla 8 resume su responsabilidad y deja explícita la separación entre generar predicciones y evaluarlas.</w:t>
      </w:r>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4252"/>
        <w:gridCol w:w="4252"/>
      </w:tblGrid>
      <w:tr w:rsidR="00914FAA" w:rsidTr="06910F8B" w14:paraId="3371E089" w14:textId="77777777">
        <w:trPr>
          <w:cantSplit/>
          <w:tblHeader/>
          <w:jc w:val="center"/>
        </w:trPr>
        <w:tc>
          <w:tcPr>
            <w:tcW w:w="4252" w:type="dxa"/>
            <w:shd w:val="clear" w:color="auto" w:fill="ED7D31"/>
            <w:tcMar>
              <w:top w:w="70" w:type="dxa"/>
              <w:left w:w="70" w:type="dxa"/>
              <w:bottom w:w="70" w:type="dxa"/>
              <w:right w:w="70" w:type="dxa"/>
            </w:tcMar>
            <w:vAlign w:val="center"/>
          </w:tcPr>
          <w:p w:rsidR="00914FAA" w:rsidP="06910F8B" w:rsidRDefault="000E7DA8" w14:paraId="4CA5CE03"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Subcomando</w:t>
            </w:r>
          </w:p>
        </w:tc>
        <w:tc>
          <w:tcPr>
            <w:tcW w:w="4252" w:type="dxa"/>
            <w:shd w:val="clear" w:color="auto" w:fill="ED7D31"/>
            <w:tcMar>
              <w:top w:w="70" w:type="dxa"/>
              <w:left w:w="70" w:type="dxa"/>
              <w:bottom w:w="70" w:type="dxa"/>
              <w:right w:w="70" w:type="dxa"/>
            </w:tcMar>
            <w:vAlign w:val="center"/>
          </w:tcPr>
          <w:p w:rsidR="00914FAA" w:rsidP="06910F8B" w:rsidRDefault="000E7DA8" w14:paraId="0FDD2F72"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Función</w:t>
            </w:r>
          </w:p>
        </w:tc>
      </w:tr>
      <w:tr w:rsidR="00914FAA" w:rsidTr="06910F8B" w14:paraId="049813A1" w14:textId="77777777">
        <w:trPr>
          <w:cantSplit/>
          <w:jc w:val="center"/>
        </w:trPr>
        <w:tc>
          <w:tcPr>
            <w:tcW w:w="4252" w:type="dxa"/>
            <w:shd w:val="clear" w:color="auto" w:fill="FFFFFF" w:themeFill="background1"/>
            <w:tcMar>
              <w:top w:w="70" w:type="dxa"/>
              <w:left w:w="70" w:type="dxa"/>
              <w:bottom w:w="70" w:type="dxa"/>
              <w:right w:w="70" w:type="dxa"/>
            </w:tcMar>
            <w:vAlign w:val="center"/>
          </w:tcPr>
          <w:p w:rsidR="00914FAA" w:rsidP="06910F8B" w:rsidRDefault="000E7DA8" w14:paraId="32BFC37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qc</w:t>
            </w:r>
          </w:p>
        </w:tc>
        <w:tc>
          <w:tcPr>
            <w:tcW w:w="4252" w:type="dxa"/>
            <w:shd w:val="clear" w:color="auto" w:fill="FFFFFF" w:themeFill="background1"/>
            <w:tcMar>
              <w:top w:w="70" w:type="dxa"/>
              <w:left w:w="70" w:type="dxa"/>
              <w:bottom w:w="70" w:type="dxa"/>
              <w:right w:w="70" w:type="dxa"/>
            </w:tcMar>
            <w:vAlign w:val="center"/>
          </w:tcPr>
          <w:p w:rsidR="00914FAA" w:rsidP="06910F8B" w:rsidRDefault="000E7DA8" w14:paraId="01BB2C1D"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Comprueba integridad, geometría y etiquetas, y genera estadísticas por estudio.</w:t>
            </w:r>
          </w:p>
        </w:tc>
      </w:tr>
      <w:tr w:rsidR="00914FAA" w:rsidTr="06910F8B" w14:paraId="7487675F" w14:textId="77777777">
        <w:trPr>
          <w:cantSplit/>
          <w:jc w:val="center"/>
        </w:trPr>
        <w:tc>
          <w:tcPr>
            <w:tcW w:w="4252" w:type="dxa"/>
            <w:shd w:val="clear" w:color="auto" w:fill="FCE4D6"/>
            <w:tcMar>
              <w:top w:w="70" w:type="dxa"/>
              <w:left w:w="70" w:type="dxa"/>
              <w:bottom w:w="70" w:type="dxa"/>
              <w:right w:w="70" w:type="dxa"/>
            </w:tcMar>
            <w:vAlign w:val="center"/>
          </w:tcPr>
          <w:p w:rsidR="00914FAA" w:rsidP="06910F8B" w:rsidRDefault="000E7DA8" w14:paraId="5935B8B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splits</w:t>
            </w:r>
          </w:p>
        </w:tc>
        <w:tc>
          <w:tcPr>
            <w:tcW w:w="4252" w:type="dxa"/>
            <w:shd w:val="clear" w:color="auto" w:fill="FCE4D6"/>
            <w:tcMar>
              <w:top w:w="70" w:type="dxa"/>
              <w:left w:w="70" w:type="dxa"/>
              <w:bottom w:w="70" w:type="dxa"/>
              <w:right w:w="70" w:type="dxa"/>
            </w:tcMar>
            <w:vAlign w:val="center"/>
          </w:tcPr>
          <w:p w:rsidR="00914FAA" w:rsidP="06910F8B" w:rsidRDefault="000E7DA8" w14:paraId="7CFC4246"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Genera las particiones estratificadas y su manifiesto.</w:t>
            </w:r>
          </w:p>
        </w:tc>
      </w:tr>
      <w:tr w:rsidR="00914FAA" w:rsidTr="06910F8B" w14:paraId="35AED96B" w14:textId="77777777">
        <w:trPr>
          <w:cantSplit/>
          <w:jc w:val="center"/>
        </w:trPr>
        <w:tc>
          <w:tcPr>
            <w:tcW w:w="4252" w:type="dxa"/>
            <w:shd w:val="clear" w:color="auto" w:fill="FFFFFF" w:themeFill="background1"/>
            <w:tcMar>
              <w:top w:w="70" w:type="dxa"/>
              <w:left w:w="70" w:type="dxa"/>
              <w:bottom w:w="70" w:type="dxa"/>
              <w:right w:w="70" w:type="dxa"/>
            </w:tcMar>
            <w:vAlign w:val="center"/>
          </w:tcPr>
          <w:p w:rsidR="00914FAA" w:rsidP="06910F8B" w:rsidRDefault="000E7DA8" w14:paraId="09958FB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train</w:t>
            </w:r>
          </w:p>
        </w:tc>
        <w:tc>
          <w:tcPr>
            <w:tcW w:w="4252" w:type="dxa"/>
            <w:shd w:val="clear" w:color="auto" w:fill="FFFFFF" w:themeFill="background1"/>
            <w:tcMar>
              <w:top w:w="70" w:type="dxa"/>
              <w:left w:w="70" w:type="dxa"/>
              <w:bottom w:w="70" w:type="dxa"/>
              <w:right w:w="70" w:type="dxa"/>
            </w:tcMar>
            <w:vAlign w:val="center"/>
          </w:tcPr>
          <w:p w:rsidR="00914FAA" w:rsidP="06910F8B" w:rsidRDefault="000E7DA8" w14:paraId="49B8129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Entrena una configuración MONAI y guarda registros y puntos de control.</w:t>
            </w:r>
          </w:p>
        </w:tc>
      </w:tr>
      <w:tr w:rsidR="00914FAA" w:rsidTr="06910F8B" w14:paraId="2041D2BC" w14:textId="77777777">
        <w:trPr>
          <w:cantSplit/>
          <w:jc w:val="center"/>
        </w:trPr>
        <w:tc>
          <w:tcPr>
            <w:tcW w:w="4252" w:type="dxa"/>
            <w:shd w:val="clear" w:color="auto" w:fill="FCE4D6"/>
            <w:tcMar>
              <w:top w:w="70" w:type="dxa"/>
              <w:left w:w="70" w:type="dxa"/>
              <w:bottom w:w="70" w:type="dxa"/>
              <w:right w:w="70" w:type="dxa"/>
            </w:tcMar>
            <w:vAlign w:val="center"/>
          </w:tcPr>
          <w:p w:rsidR="00914FAA" w:rsidP="06910F8B" w:rsidRDefault="000E7DA8" w14:paraId="0FD7A32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predict</w:t>
            </w:r>
          </w:p>
        </w:tc>
        <w:tc>
          <w:tcPr>
            <w:tcW w:w="4252" w:type="dxa"/>
            <w:shd w:val="clear" w:color="auto" w:fill="FCE4D6"/>
            <w:tcMar>
              <w:top w:w="70" w:type="dxa"/>
              <w:left w:w="70" w:type="dxa"/>
              <w:bottom w:w="70" w:type="dxa"/>
              <w:right w:w="70" w:type="dxa"/>
            </w:tcMar>
            <w:vAlign w:val="center"/>
          </w:tcPr>
          <w:p w:rsidR="00914FAA" w:rsidP="06910F8B" w:rsidRDefault="000E7DA8" w14:paraId="5E9BF639"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Carga un modelo y exporta predicciones NIfTI para una partición.</w:t>
            </w:r>
          </w:p>
        </w:tc>
      </w:tr>
      <w:tr w:rsidR="00914FAA" w:rsidTr="06910F8B" w14:paraId="093B1423" w14:textId="77777777">
        <w:trPr>
          <w:cantSplit/>
          <w:jc w:val="center"/>
        </w:trPr>
        <w:tc>
          <w:tcPr>
            <w:tcW w:w="4252" w:type="dxa"/>
            <w:shd w:val="clear" w:color="auto" w:fill="FFFFFF" w:themeFill="background1"/>
            <w:tcMar>
              <w:top w:w="70" w:type="dxa"/>
              <w:left w:w="70" w:type="dxa"/>
              <w:bottom w:w="70" w:type="dxa"/>
              <w:right w:w="70" w:type="dxa"/>
            </w:tcMar>
            <w:vAlign w:val="center"/>
          </w:tcPr>
          <w:p w:rsidR="00914FAA" w:rsidP="06910F8B" w:rsidRDefault="000E7DA8" w14:paraId="183E2A99"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evaluate</w:t>
            </w:r>
          </w:p>
        </w:tc>
        <w:tc>
          <w:tcPr>
            <w:tcW w:w="4252" w:type="dxa"/>
            <w:shd w:val="clear" w:color="auto" w:fill="FFFFFF" w:themeFill="background1"/>
            <w:tcMar>
              <w:top w:w="70" w:type="dxa"/>
              <w:left w:w="70" w:type="dxa"/>
              <w:bottom w:w="70" w:type="dxa"/>
              <w:right w:w="70" w:type="dxa"/>
            </w:tcMar>
            <w:vAlign w:val="center"/>
          </w:tcPr>
          <w:p w:rsidR="00914FAA" w:rsidP="06910F8B" w:rsidRDefault="000E7DA8" w14:paraId="23F5012E"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Lee predicciones ya generadas y calcula Dice y HD95 para ET, TC y WT.</w:t>
            </w:r>
          </w:p>
        </w:tc>
      </w:tr>
    </w:tbl>
    <w:p w:rsidR="00914FAA" w:rsidRDefault="000E7DA8" w14:paraId="3A802EB3" w14:textId="77777777">
      <w:pPr>
        <w:pStyle w:val="Descripcin"/>
        <w:keepLines/>
      </w:pPr>
      <w:bookmarkStart w:name="_Toc235507366" w:id="84"/>
      <w:r>
        <w:rPr>
          <w:b/>
        </w:rPr>
        <w:t xml:space="preserve">Tabla </w:t>
      </w:r>
      <w:r>
        <w:fldChar w:fldCharType="begin"/>
      </w:r>
      <w:r>
        <w:instrText xml:space="preserve"> SEQ Tabla \* ARABIC </w:instrText>
      </w:r>
      <w:r>
        <w:fldChar w:fldCharType="separate"/>
      </w:r>
      <w:r>
        <w:rPr>
          <w:b/>
        </w:rPr>
        <w:t>8</w:t>
      </w:r>
      <w:r>
        <w:fldChar w:fldCharType="end"/>
      </w:r>
      <w:r>
        <w:rPr>
          <w:b/>
        </w:rPr>
        <w:t xml:space="preserve">. </w:t>
      </w:r>
      <w:r>
        <w:t>Subcomandos de la interfaz tfm_brats/cli.py.</w:t>
      </w:r>
      <w:bookmarkEnd w:id="84"/>
    </w:p>
    <w:p w:rsidR="00914FAA" w:rsidRDefault="000E7DA8" w14:paraId="628C5467" w14:textId="769582B3">
      <w:r w:rsidR="6A5F4401">
        <w:rPr/>
        <w:t>La tabla refleja un flujo desacoplado</w:t>
      </w:r>
      <w:r w:rsidR="2EF217DF">
        <w:rPr/>
        <w:t xml:space="preserve"> dado que </w:t>
      </w:r>
      <w:r w:rsidR="6A5F4401">
        <w:rPr/>
        <w:t xml:space="preserve">las métricas pueden recalcularse a partir de los </w:t>
      </w:r>
      <w:r w:rsidR="6A5F4401">
        <w:rPr/>
        <w:t>NIfTI</w:t>
      </w:r>
      <w:r w:rsidR="6A5F4401">
        <w:rPr/>
        <w:t xml:space="preserve"> sin repetir la inferencia. La Figura 1 ofrece una visión global del sistema, incluidas las ramas que no comparten el mismo bucle de entrenamiento.</w:t>
      </w:r>
    </w:p>
    <w:p w:rsidR="00914FAA" w:rsidP="06910F8B" w:rsidRDefault="000E7DA8" w14:paraId="3C8EE948" w14:textId="3A499675">
      <w:pPr>
        <w:pStyle w:val="Normal"/>
        <w:keepNext w:val="1"/>
        <w:spacing w:before="120" w:after="0"/>
        <w:jc w:val="center"/>
      </w:pPr>
      <w:r w:rsidR="64A89E9F">
        <w:drawing>
          <wp:inline wp14:editId="0B4DD740" wp14:anchorId="14423851">
            <wp:extent cx="5400675" cy="3476625"/>
            <wp:effectExtent l="0" t="0" r="0" b="0"/>
            <wp:docPr id="1754786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786734" name="Picture 1754786734"/>
                    <pic:cNvPicPr/>
                  </pic:nvPicPr>
                  <pic:blipFill>
                    <a:blip xmlns:r="http://schemas.openxmlformats.org/officeDocument/2006/relationships" r:embed="rId223393701">
                      <a:extLst>
                        <a:ext uri="{28A0092B-C50C-407E-A947-70E740481C1C}">
                          <a14:useLocalDpi xmlns:a14="http://schemas.microsoft.com/office/drawing/2010/main"/>
                        </a:ext>
                      </a:extLst>
                    </a:blip>
                    <a:stretch>
                      <a:fillRect/>
                    </a:stretch>
                  </pic:blipFill>
                  <pic:spPr>
                    <a:xfrm>
                      <a:off x="0" y="0"/>
                      <a:ext cx="5400675" cy="3476625"/>
                    </a:xfrm>
                    <a:prstGeom prst="rect">
                      <a:avLst/>
                    </a:prstGeom>
                  </pic:spPr>
                </pic:pic>
              </a:graphicData>
            </a:graphic>
          </wp:inline>
        </w:drawing>
      </w:r>
    </w:p>
    <w:p w:rsidR="00914FAA" w:rsidRDefault="000E7DA8" w14:paraId="51983E48" w14:textId="77777777">
      <w:pPr>
        <w:pStyle w:val="Descripcin"/>
        <w:keepLines/>
      </w:pPr>
      <w:bookmarkStart w:name="_Toc235507345" w:id="85"/>
      <w:r>
        <w:rPr>
          <w:b/>
        </w:rPr>
        <w:t xml:space="preserve">Figura </w:t>
      </w:r>
      <w:r>
        <w:fldChar w:fldCharType="begin"/>
      </w:r>
      <w:r>
        <w:instrText xml:space="preserve"> SEQ Figura \* ARABIC </w:instrText>
      </w:r>
      <w:r>
        <w:fldChar w:fldCharType="separate"/>
      </w:r>
      <w:r>
        <w:rPr>
          <w:b/>
        </w:rPr>
        <w:t>1</w:t>
      </w:r>
      <w:r>
        <w:fldChar w:fldCharType="end"/>
      </w:r>
      <w:r>
        <w:rPr>
          <w:b/>
        </w:rPr>
        <w:t xml:space="preserve">. </w:t>
      </w:r>
      <w:r>
        <w:t>Visión global del sistema: BraTS-GLI 2024, control de calidad y particiones; carga y preprocesamiento; ramas MONAI para Residual U-Net con fusión, Attention U-Net y Swin-UNETR, junto con la rama externa nnU-Net; y generación de predicciones y evaluación común.</w:t>
      </w:r>
      <w:bookmarkEnd w:id="85"/>
    </w:p>
    <w:p w:rsidR="00914FAA" w:rsidRDefault="000E7DA8" w14:paraId="589A22CD" w14:textId="77777777">
      <w:r w:rsidR="6A5F4401">
        <w:rPr/>
        <w:t xml:space="preserve">La figura permite distinguir la infraestructura compartida —datos, particiones y métricas finales— de los dos protocolos de modelado: la </w:t>
      </w:r>
      <w:r w:rsidRPr="06910F8B" w:rsidR="6A5F4401">
        <w:rPr>
          <w:i w:val="1"/>
          <w:iCs w:val="1"/>
        </w:rPr>
        <w:t>pipeline</w:t>
      </w:r>
      <w:r w:rsidR="6A5F4401">
        <w:rPr/>
        <w:t xml:space="preserve"> MONAI propia y el flujo auto-configurable de nnU-Net. Dentro de MONAI, solo la rama residual mantiene fija la arquitectura para aislar el efecto de la fusión.</w:t>
      </w:r>
    </w:p>
    <w:p w:rsidR="06910F8B" w:rsidRDefault="06910F8B" w14:paraId="5F9F0FC5" w14:textId="7CA96EC6"/>
    <w:p w:rsidR="00914FAA" w:rsidRDefault="000E7DA8" w14:paraId="2C35F9BA" w14:textId="77777777">
      <w:pPr>
        <w:pStyle w:val="Ttulo3"/>
      </w:pPr>
      <w:bookmarkStart w:name="_Toc1890620708" w:id="86"/>
      <w:bookmarkStart w:name="X516f2091bfee5b165a23ddf622edc1b6c71e40d" w:id="87"/>
      <w:bookmarkEnd w:id="78"/>
      <w:r>
        <w:t>4.3.3. Formulación del problema, modalidades y regiones</w:t>
      </w:r>
      <w:bookmarkEnd w:id="86"/>
    </w:p>
    <w:p w:rsidR="00914FAA" w:rsidRDefault="000E7DA8" w14:paraId="2DBA1396" w14:textId="77777777">
      <w:r w:rsidR="6A5F4401">
        <w:rPr/>
        <w:t>Los modelos MONAI reciben un tensor con cuatro canales en el orden T1n, T1c, T2w y T2f, donde T2f corresponde a FLAIR, y producen tres canales para ET, TC y WT. La Tabla 9 relaciona las entradas con la información que aportan y las salidas con las etiquetas BraTS utilizadas por el código.</w:t>
      </w:r>
    </w:p>
    <w:p w:rsidR="06910F8B" w:rsidRDefault="06910F8B" w14:paraId="5E8E0CE6" w14:textId="32ED28FB"/>
    <w:p w:rsidR="06910F8B" w:rsidRDefault="06910F8B" w14:paraId="4449C5DE" w14:textId="45CB50A6"/>
    <w:p w:rsidR="06910F8B" w:rsidRDefault="06910F8B" w14:paraId="726ACA27" w14:textId="3F1EB476"/>
    <w:p w:rsidR="06910F8B" w:rsidRDefault="06910F8B" w14:paraId="274CBDBE" w14:textId="086E6BC1"/>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14FAA" w:rsidTr="06910F8B" w14:paraId="622A77B4" w14:textId="77777777">
        <w:trPr>
          <w:cantSplit/>
          <w:tblHeader/>
          <w:jc w:val="center"/>
        </w:trPr>
        <w:tc>
          <w:tcPr>
            <w:tcW w:w="2126" w:type="dxa"/>
            <w:shd w:val="clear" w:color="auto" w:fill="ED7D31"/>
            <w:tcMar>
              <w:top w:w="70" w:type="dxa"/>
              <w:left w:w="70" w:type="dxa"/>
              <w:bottom w:w="70" w:type="dxa"/>
              <w:right w:w="70" w:type="dxa"/>
            </w:tcMar>
            <w:vAlign w:val="center"/>
          </w:tcPr>
          <w:p w:rsidR="00914FAA" w:rsidP="06910F8B" w:rsidRDefault="000E7DA8" w14:paraId="568E321D"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Tipo</w:t>
            </w:r>
          </w:p>
        </w:tc>
        <w:tc>
          <w:tcPr>
            <w:tcW w:w="2126" w:type="dxa"/>
            <w:shd w:val="clear" w:color="auto" w:fill="ED7D31"/>
            <w:tcMar>
              <w:top w:w="70" w:type="dxa"/>
              <w:left w:w="70" w:type="dxa"/>
              <w:bottom w:w="70" w:type="dxa"/>
              <w:right w:w="70" w:type="dxa"/>
            </w:tcMar>
            <w:vAlign w:val="center"/>
          </w:tcPr>
          <w:p w:rsidR="00914FAA" w:rsidP="06910F8B" w:rsidRDefault="000E7DA8" w14:paraId="28256D76"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Canal o elemento</w:t>
            </w:r>
          </w:p>
        </w:tc>
        <w:tc>
          <w:tcPr>
            <w:tcW w:w="2126" w:type="dxa"/>
            <w:shd w:val="clear" w:color="auto" w:fill="ED7D31"/>
            <w:tcMar>
              <w:top w:w="70" w:type="dxa"/>
              <w:left w:w="70" w:type="dxa"/>
              <w:bottom w:w="70" w:type="dxa"/>
              <w:right w:w="70" w:type="dxa"/>
            </w:tcMar>
            <w:vAlign w:val="center"/>
          </w:tcPr>
          <w:p w:rsidR="00914FAA" w:rsidP="06910F8B" w:rsidRDefault="000E7DA8" w14:paraId="3EE50310"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Información o composición</w:t>
            </w:r>
          </w:p>
        </w:tc>
        <w:tc>
          <w:tcPr>
            <w:tcW w:w="2126" w:type="dxa"/>
            <w:shd w:val="clear" w:color="auto" w:fill="ED7D31"/>
            <w:tcMar>
              <w:top w:w="70" w:type="dxa"/>
              <w:left w:w="70" w:type="dxa"/>
              <w:bottom w:w="70" w:type="dxa"/>
              <w:right w:w="70" w:type="dxa"/>
            </w:tcMar>
            <w:vAlign w:val="center"/>
          </w:tcPr>
          <w:p w:rsidR="00914FAA" w:rsidP="06910F8B" w:rsidRDefault="000E7DA8" w14:paraId="72B34351"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Relevancia para la segmentación</w:t>
            </w:r>
          </w:p>
        </w:tc>
      </w:tr>
      <w:tr w:rsidR="00914FAA" w:rsidTr="06910F8B" w14:paraId="239786B5"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123F293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Entrada</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1C1C908D"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T1n</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0EE230D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Anatomía y señal T1 sin contraste</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167863C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Aporta contexto anatómico y alteraciones no definidas por realce</w:t>
            </w:r>
          </w:p>
        </w:tc>
      </w:tr>
      <w:tr w:rsidR="00914FAA" w:rsidTr="06910F8B" w14:paraId="603BDAB5" w14:textId="77777777">
        <w:trPr>
          <w:cantSplit/>
          <w:jc w:val="center"/>
        </w:trPr>
        <w:tc>
          <w:tcPr>
            <w:tcW w:w="2126" w:type="dxa"/>
            <w:shd w:val="clear" w:color="auto" w:fill="FCE4D6"/>
            <w:tcMar>
              <w:top w:w="70" w:type="dxa"/>
              <w:left w:w="70" w:type="dxa"/>
              <w:bottom w:w="70" w:type="dxa"/>
              <w:right w:w="70" w:type="dxa"/>
            </w:tcMar>
            <w:vAlign w:val="center"/>
          </w:tcPr>
          <w:p w:rsidR="00914FAA" w:rsidP="06910F8B" w:rsidRDefault="000E7DA8" w14:paraId="07178BF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Entrada</w:t>
            </w:r>
          </w:p>
        </w:tc>
        <w:tc>
          <w:tcPr>
            <w:tcW w:w="2126" w:type="dxa"/>
            <w:shd w:val="clear" w:color="auto" w:fill="FCE4D6"/>
            <w:tcMar>
              <w:top w:w="70" w:type="dxa"/>
              <w:left w:w="70" w:type="dxa"/>
              <w:bottom w:w="70" w:type="dxa"/>
              <w:right w:w="70" w:type="dxa"/>
            </w:tcMar>
            <w:vAlign w:val="center"/>
          </w:tcPr>
          <w:p w:rsidR="00914FAA" w:rsidP="06910F8B" w:rsidRDefault="000E7DA8" w14:paraId="2D60939D"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T1c</w:t>
            </w:r>
          </w:p>
        </w:tc>
        <w:tc>
          <w:tcPr>
            <w:tcW w:w="2126" w:type="dxa"/>
            <w:shd w:val="clear" w:color="auto" w:fill="FCE4D6"/>
            <w:tcMar>
              <w:top w:w="70" w:type="dxa"/>
              <w:left w:w="70" w:type="dxa"/>
              <w:bottom w:w="70" w:type="dxa"/>
              <w:right w:w="70" w:type="dxa"/>
            </w:tcMar>
            <w:vAlign w:val="center"/>
          </w:tcPr>
          <w:p w:rsidR="00914FAA" w:rsidP="06910F8B" w:rsidRDefault="000E7DA8" w14:paraId="6D0BB98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Información T1 después de contraste</w:t>
            </w:r>
          </w:p>
        </w:tc>
        <w:tc>
          <w:tcPr>
            <w:tcW w:w="2126" w:type="dxa"/>
            <w:shd w:val="clear" w:color="auto" w:fill="FCE4D6"/>
            <w:tcMar>
              <w:top w:w="70" w:type="dxa"/>
              <w:left w:w="70" w:type="dxa"/>
              <w:bottom w:w="70" w:type="dxa"/>
              <w:right w:w="70" w:type="dxa"/>
            </w:tcMar>
            <w:vAlign w:val="center"/>
          </w:tcPr>
          <w:p w:rsidR="00914FAA" w:rsidP="06910F8B" w:rsidRDefault="000E7DA8" w14:paraId="75DAA6B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Ayuda a delimitar el componente con realce, sin sustituir la interpretación conjunta de las modalidades</w:t>
            </w:r>
          </w:p>
        </w:tc>
      </w:tr>
      <w:tr w:rsidR="00914FAA" w:rsidTr="06910F8B" w14:paraId="69779C86"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73422C3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Entrada</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4CA636DB"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T2w</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1F934E7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Señal sensible al contenido de agua</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713716E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Resalta alteraciones ricas en líquido y contribuye a estimar la extensión tumoral</w:t>
            </w:r>
          </w:p>
        </w:tc>
      </w:tr>
      <w:tr w:rsidR="00914FAA" w:rsidTr="06910F8B" w14:paraId="647672E9" w14:textId="77777777">
        <w:trPr>
          <w:cantSplit/>
          <w:jc w:val="center"/>
        </w:trPr>
        <w:tc>
          <w:tcPr>
            <w:tcW w:w="2126" w:type="dxa"/>
            <w:shd w:val="clear" w:color="auto" w:fill="FCE4D6"/>
            <w:tcMar>
              <w:top w:w="70" w:type="dxa"/>
              <w:left w:w="70" w:type="dxa"/>
              <w:bottom w:w="70" w:type="dxa"/>
              <w:right w:w="70" w:type="dxa"/>
            </w:tcMar>
            <w:vAlign w:val="center"/>
          </w:tcPr>
          <w:p w:rsidR="00914FAA" w:rsidP="06910F8B" w:rsidRDefault="000E7DA8" w14:paraId="2CBCA87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Entrada</w:t>
            </w:r>
          </w:p>
        </w:tc>
        <w:tc>
          <w:tcPr>
            <w:tcW w:w="2126" w:type="dxa"/>
            <w:shd w:val="clear" w:color="auto" w:fill="FCE4D6"/>
            <w:tcMar>
              <w:top w:w="70" w:type="dxa"/>
              <w:left w:w="70" w:type="dxa"/>
              <w:bottom w:w="70" w:type="dxa"/>
              <w:right w:w="70" w:type="dxa"/>
            </w:tcMar>
            <w:vAlign w:val="center"/>
          </w:tcPr>
          <w:p w:rsidR="00914FAA" w:rsidP="06910F8B" w:rsidRDefault="000E7DA8" w14:paraId="5C9759E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FLAIR (t2f)</w:t>
            </w:r>
          </w:p>
        </w:tc>
        <w:tc>
          <w:tcPr>
            <w:tcW w:w="2126" w:type="dxa"/>
            <w:shd w:val="clear" w:color="auto" w:fill="FCE4D6"/>
            <w:tcMar>
              <w:top w:w="70" w:type="dxa"/>
              <w:left w:w="70" w:type="dxa"/>
              <w:bottom w:w="70" w:type="dxa"/>
              <w:right w:w="70" w:type="dxa"/>
            </w:tcMar>
            <w:vAlign w:val="center"/>
          </w:tcPr>
          <w:p w:rsidR="00914FAA" w:rsidP="06910F8B" w:rsidRDefault="000E7DA8" w14:paraId="3561FFF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Señal T2 con supresión del líquido cefalorraquídeo</w:t>
            </w:r>
          </w:p>
        </w:tc>
        <w:tc>
          <w:tcPr>
            <w:tcW w:w="2126" w:type="dxa"/>
            <w:shd w:val="clear" w:color="auto" w:fill="FCE4D6"/>
            <w:tcMar>
              <w:top w:w="70" w:type="dxa"/>
              <w:left w:w="70" w:type="dxa"/>
              <w:bottom w:w="70" w:type="dxa"/>
              <w:right w:w="70" w:type="dxa"/>
            </w:tcMar>
            <w:vAlign w:val="center"/>
          </w:tcPr>
          <w:p w:rsidR="00914FAA" w:rsidP="06910F8B" w:rsidRDefault="000E7DA8" w14:paraId="0BA56DE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Facilita la visualización de hiperintensidades parenquimatosas y del componente periférico de WT</w:t>
            </w:r>
          </w:p>
        </w:tc>
      </w:tr>
      <w:tr w:rsidR="00914FAA" w:rsidTr="06910F8B" w14:paraId="34240FC9"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2F234AB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Salida</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77F6CBF6"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ET, canal 0</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51FB890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Etiqueta {3}</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39C4209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Región tumoral con realce</w:t>
            </w:r>
          </w:p>
        </w:tc>
      </w:tr>
      <w:tr w:rsidR="00914FAA" w:rsidTr="06910F8B" w14:paraId="531346C3" w14:textId="77777777">
        <w:trPr>
          <w:cantSplit/>
          <w:jc w:val="center"/>
        </w:trPr>
        <w:tc>
          <w:tcPr>
            <w:tcW w:w="2126" w:type="dxa"/>
            <w:shd w:val="clear" w:color="auto" w:fill="FCE4D6"/>
            <w:tcMar>
              <w:top w:w="70" w:type="dxa"/>
              <w:left w:w="70" w:type="dxa"/>
              <w:bottom w:w="70" w:type="dxa"/>
              <w:right w:w="70" w:type="dxa"/>
            </w:tcMar>
            <w:vAlign w:val="center"/>
          </w:tcPr>
          <w:p w:rsidR="00914FAA" w:rsidP="06910F8B" w:rsidRDefault="000E7DA8" w14:paraId="667E694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Salida</w:t>
            </w:r>
          </w:p>
        </w:tc>
        <w:tc>
          <w:tcPr>
            <w:tcW w:w="2126" w:type="dxa"/>
            <w:shd w:val="clear" w:color="auto" w:fill="FCE4D6"/>
            <w:tcMar>
              <w:top w:w="70" w:type="dxa"/>
              <w:left w:w="70" w:type="dxa"/>
              <w:bottom w:w="70" w:type="dxa"/>
              <w:right w:w="70" w:type="dxa"/>
            </w:tcMar>
            <w:vAlign w:val="center"/>
          </w:tcPr>
          <w:p w:rsidR="00914FAA" w:rsidP="06910F8B" w:rsidRDefault="000E7DA8" w14:paraId="1A9AECF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TC, canal 1</w:t>
            </w:r>
          </w:p>
        </w:tc>
        <w:tc>
          <w:tcPr>
            <w:tcW w:w="2126" w:type="dxa"/>
            <w:shd w:val="clear" w:color="auto" w:fill="FCE4D6"/>
            <w:tcMar>
              <w:top w:w="70" w:type="dxa"/>
              <w:left w:w="70" w:type="dxa"/>
              <w:bottom w:w="70" w:type="dxa"/>
              <w:right w:w="70" w:type="dxa"/>
            </w:tcMar>
            <w:vAlign w:val="center"/>
          </w:tcPr>
          <w:p w:rsidR="00914FAA" w:rsidP="06910F8B" w:rsidRDefault="000E7DA8" w14:paraId="4482985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Etiquetas {1, 3, 4}</w:t>
            </w:r>
          </w:p>
        </w:tc>
        <w:tc>
          <w:tcPr>
            <w:tcW w:w="2126" w:type="dxa"/>
            <w:shd w:val="clear" w:color="auto" w:fill="FCE4D6"/>
            <w:tcMar>
              <w:top w:w="70" w:type="dxa"/>
              <w:left w:w="70" w:type="dxa"/>
              <w:bottom w:w="70" w:type="dxa"/>
              <w:right w:w="70" w:type="dxa"/>
            </w:tcMar>
            <w:vAlign w:val="center"/>
          </w:tcPr>
          <w:p w:rsidR="00914FAA" w:rsidP="06910F8B" w:rsidRDefault="000E7DA8" w14:paraId="611A900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Núcleo tumoral completo</w:t>
            </w:r>
          </w:p>
        </w:tc>
      </w:tr>
      <w:tr w:rsidR="00914FAA" w:rsidTr="06910F8B" w14:paraId="0A267703"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258E7CDC"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Salida</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6658CB7A"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WT, canal 2</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7782F310"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Etiquetas {1, 2, 3, 4}</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75B3B4A8"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Extensión tumoral completa</w:t>
            </w:r>
          </w:p>
        </w:tc>
      </w:tr>
    </w:tbl>
    <w:p w:rsidR="00914FAA" w:rsidRDefault="000E7DA8" w14:paraId="00B069D0" w14:textId="77777777">
      <w:pPr>
        <w:pStyle w:val="Descripcin"/>
        <w:keepLines/>
      </w:pPr>
      <w:bookmarkStart w:name="_Toc235507367" w:id="88"/>
      <w:r>
        <w:rPr>
          <w:b/>
        </w:rPr>
        <w:t xml:space="preserve">Tabla </w:t>
      </w:r>
      <w:r>
        <w:fldChar w:fldCharType="begin"/>
      </w:r>
      <w:r>
        <w:instrText xml:space="preserve"> SEQ Tabla \* ARABIC </w:instrText>
      </w:r>
      <w:r>
        <w:fldChar w:fldCharType="separate"/>
      </w:r>
      <w:r>
        <w:rPr>
          <w:b/>
        </w:rPr>
        <w:t>9</w:t>
      </w:r>
      <w:r>
        <w:fldChar w:fldCharType="end"/>
      </w:r>
      <w:r>
        <w:rPr>
          <w:b/>
        </w:rPr>
        <w:t xml:space="preserve">. </w:t>
      </w:r>
      <w:r>
        <w:t>Entradas multimodales y salidas regionales del sistema de segmentación.</w:t>
      </w:r>
      <w:bookmarkEnd w:id="88"/>
    </w:p>
    <w:p w:rsidR="00914FAA" w:rsidRDefault="000E7DA8" w14:paraId="0AD7FB20" w14:textId="1D6A5AD0">
      <w:r w:rsidR="6A5F4401">
        <w:rPr/>
        <w:t>La tabla muestra por qué la entrada es multimodal</w:t>
      </w:r>
      <w:r w:rsidR="6ACC4ABF">
        <w:rPr/>
        <w:t>. N</w:t>
      </w:r>
      <w:r w:rsidR="6A5F4401">
        <w:rPr/>
        <w:t>inguna secuencia resume por sí sola toda la información usada para construir ET, TC y WT. Los ejemplos del Capítulo 5 complementan esta descripción al mostrar simultáneamente las regiones predichas sobre un estudio concreto.</w:t>
      </w:r>
    </w:p>
    <w:p w:rsidR="00914FAA" w:rsidRDefault="000E7DA8" w14:paraId="1AC9B4B3" w14:textId="77777777">
      <w:r w:rsidR="6A5F4401">
        <w:rPr/>
        <w:t xml:space="preserve">Las regiones se representan como máscaras anidadas, ET ⊂ TC ⊂ WT. BratsRegionsd transforma la máscara de etiquetas en tres canales binarios y la salida se formula como segmentación multietiqueta. Los </w:t>
      </w:r>
      <w:r w:rsidRPr="06910F8B" w:rsidR="6A5F4401">
        <w:rPr>
          <w:i w:val="1"/>
          <w:iCs w:val="1"/>
        </w:rPr>
        <w:t>logits</w:t>
      </w:r>
      <w:r w:rsidR="6A5F4401">
        <w:rPr/>
        <w:t xml:space="preserve"> se activan con sigmoide y se umbralizan a 0,5. Al exportar la predicción, regions_to_labelmap fuerza la coherencia de inclusión mediante la unión de ET con TC y de TC con WT, y reconstruye un mapa NIfTI compatible con la evaluación.</w:t>
      </w:r>
    </w:p>
    <w:p w:rsidR="06910F8B" w:rsidRDefault="06910F8B" w14:paraId="5AB3419F" w14:textId="437137D4"/>
    <w:p w:rsidR="00914FAA" w:rsidRDefault="000E7DA8" w14:paraId="4725ED3D" w14:textId="77777777">
      <w:pPr>
        <w:pStyle w:val="Ttulo3"/>
      </w:pPr>
      <w:bookmarkStart w:name="_Toc254808715" w:id="89"/>
      <w:bookmarkStart w:name="preprocesamiento-y-aumento-de-datos" w:id="90"/>
      <w:bookmarkEnd w:id="80"/>
      <w:r>
        <w:t>4.3.4. Preprocesamiento y aumento de datos</w:t>
      </w:r>
      <w:bookmarkEnd w:id="89"/>
    </w:p>
    <w:p w:rsidR="00914FAA" w:rsidRDefault="000E7DA8" w14:paraId="150B13D1" w14:textId="1247A523">
      <w:r w:rsidR="6A5F4401">
        <w:rPr/>
        <w:t xml:space="preserve">La </w:t>
      </w:r>
      <w:r w:rsidRPr="06910F8B" w:rsidR="6A5F4401">
        <w:rPr>
          <w:i w:val="1"/>
          <w:iCs w:val="1"/>
        </w:rPr>
        <w:t>pipeline</w:t>
      </w:r>
      <w:r w:rsidR="6A5F4401">
        <w:rPr/>
        <w:t xml:space="preserve"> MONAI usa </w:t>
      </w:r>
      <w:r w:rsidR="6A5F4401">
        <w:rPr/>
        <w:t>LoadImaged</w:t>
      </w:r>
      <w:r w:rsidR="6A5F4401">
        <w:rPr/>
        <w:t xml:space="preserve">, </w:t>
      </w:r>
      <w:r w:rsidR="6A5F4401">
        <w:rPr/>
        <w:t>EnsureChannelFirstd</w:t>
      </w:r>
      <w:r w:rsidR="6A5F4401">
        <w:rPr/>
        <w:t xml:space="preserve">, normalización por modalidad sobre </w:t>
      </w:r>
      <w:r w:rsidR="6A5F4401">
        <w:rPr/>
        <w:t>vóxeles</w:t>
      </w:r>
      <w:r w:rsidR="6A5F4401">
        <w:rPr/>
        <w:t xml:space="preserve"> no nulos </w:t>
      </w:r>
      <w:r w:rsidRPr="06910F8B" w:rsidR="6A5F4401">
        <w:rPr>
          <w:rFonts w:ascii="Consolas" w:hAnsi="Consolas" w:eastAsia="Consolas" w:cs="Consolas"/>
        </w:rPr>
        <w:t>(</w:t>
      </w:r>
      <w:r w:rsidRPr="06910F8B" w:rsidR="6A5F4401">
        <w:rPr>
          <w:rFonts w:ascii="Consolas" w:hAnsi="Consolas" w:eastAsia="Consolas" w:cs="Consolas"/>
        </w:rPr>
        <w:t>NormalizeIntensityd</w:t>
      </w:r>
      <w:r w:rsidRPr="06910F8B" w:rsidR="6A5F4401">
        <w:rPr>
          <w:rFonts w:ascii="Consolas" w:hAnsi="Consolas" w:eastAsia="Consolas" w:cs="Consolas"/>
        </w:rPr>
        <w:t>(</w:t>
      </w:r>
      <w:r w:rsidRPr="06910F8B" w:rsidR="6A5F4401">
        <w:rPr>
          <w:rFonts w:ascii="Consolas" w:hAnsi="Consolas" w:eastAsia="Consolas" w:cs="Consolas"/>
        </w:rPr>
        <w:t>nonzero</w:t>
      </w:r>
      <w:r w:rsidRPr="06910F8B" w:rsidR="6A5F4401">
        <w:rPr>
          <w:rFonts w:ascii="Consolas" w:hAnsi="Consolas" w:eastAsia="Consolas" w:cs="Consolas"/>
        </w:rPr>
        <w:t xml:space="preserve">=True, </w:t>
      </w:r>
      <w:r w:rsidRPr="06910F8B" w:rsidR="6A5F4401">
        <w:rPr>
          <w:rFonts w:ascii="Consolas" w:hAnsi="Consolas" w:eastAsia="Consolas" w:cs="Consolas"/>
        </w:rPr>
        <w:t>channel_wise</w:t>
      </w:r>
      <w:r w:rsidRPr="06910F8B" w:rsidR="6A5F4401">
        <w:rPr>
          <w:rFonts w:ascii="Consolas" w:hAnsi="Consolas" w:eastAsia="Consolas" w:cs="Consolas"/>
        </w:rPr>
        <w:t>=True))</w:t>
      </w:r>
      <w:r w:rsidR="6A5F4401">
        <w:rPr/>
        <w:t xml:space="preserve"> y conversión a tensores. Durante entrenamiento y validación interna también carga la etiqueta y aplica </w:t>
      </w:r>
      <w:r w:rsidR="6A5F4401">
        <w:rPr/>
        <w:t>BratsRegionsd</w:t>
      </w:r>
      <w:r w:rsidR="6A5F4401">
        <w:rPr/>
        <w:t xml:space="preserve">. La inferencia </w:t>
      </w:r>
      <w:r w:rsidR="6A5F4401">
        <w:rPr/>
        <w:t>de test</w:t>
      </w:r>
      <w:r w:rsidR="6A5F4401">
        <w:rPr/>
        <w:t xml:space="preserve"> usa </w:t>
      </w:r>
      <w:r w:rsidRPr="06910F8B" w:rsidR="6A5F4401">
        <w:rPr>
          <w:rFonts w:ascii="Consolas" w:hAnsi="Consolas" w:eastAsia="Consolas" w:cs="Consolas"/>
        </w:rPr>
        <w:t>build_inference_transforms</w:t>
      </w:r>
      <w:r w:rsidR="6A5F4401">
        <w:rPr/>
        <w:t>, que procesa únicamente la imagen</w:t>
      </w:r>
      <w:r w:rsidR="26CD5AD5">
        <w:rPr/>
        <w:t>. L</w:t>
      </w:r>
      <w:r w:rsidR="6A5F4401">
        <w:rPr/>
        <w:t xml:space="preserve">a máscara se carga después desde </w:t>
      </w:r>
      <w:r w:rsidRPr="06910F8B" w:rsidR="6A5F4401">
        <w:rPr>
          <w:rFonts w:ascii="Consolas" w:hAnsi="Consolas" w:eastAsia="Consolas" w:cs="Consolas"/>
        </w:rPr>
        <w:t>metrics.py</w:t>
      </w:r>
      <w:r w:rsidR="6A5F4401">
        <w:rPr/>
        <w:t xml:space="preserve"> para evaluar la predicción exportada.</w:t>
      </w:r>
    </w:p>
    <w:p w:rsidR="00914FAA" w:rsidRDefault="000E7DA8" w14:paraId="65040234" w14:textId="77777777">
      <w:r>
        <w:t>El aumento se limita al entrenamiento. SpatialPadd asegura un tamaño mínimo de 128³, DivisiblePadd(k=16) mantiene dimensiones compatibles, RandCropByPosNegLabeld extrae dos parches por estudio con razón positiva/negativa 1:1 y RandFlipd aplica volteos independientes con probabilidad 0,5 en los tres ejes. Validación y test no reciben transformaciones aleatorias y se procesan como volúmenes completos mediante ventana deslizante.</w:t>
      </w:r>
    </w:p>
    <w:p w:rsidR="00914FAA" w:rsidRDefault="000E7DA8" w14:paraId="65D57774" w14:textId="77777777">
      <w:commentRangeStart w:id="36"/>
      <w:r w:rsidR="6A5F4401">
        <w:rPr/>
        <w:t xml:space="preserve">Los datos se sirven con Dataset y DataLoader de MONAI y la colación </w:t>
      </w:r>
      <w:r w:rsidRPr="06910F8B" w:rsidR="6A5F4401">
        <w:rPr>
          <w:rFonts w:ascii="Consolas" w:hAnsi="Consolas" w:eastAsia="Consolas" w:cs="Consolas"/>
        </w:rPr>
        <w:t>list_data_collate</w:t>
      </w:r>
      <w:r w:rsidR="6A5F4401">
        <w:rPr/>
        <w:t xml:space="preserve">. Durante el desarrollo se añadió </w:t>
      </w:r>
      <w:r w:rsidRPr="06910F8B" w:rsidR="6A5F4401">
        <w:rPr>
          <w:rFonts w:ascii="Consolas" w:hAnsi="Consolas" w:eastAsia="Consolas" w:cs="Consolas"/>
        </w:rPr>
        <w:t>build_cached_dataset</w:t>
      </w:r>
      <w:r w:rsidR="6A5F4401">
        <w:rPr/>
        <w:t xml:space="preserve">, con modos none, memory y persistent, para adaptar la lectura al entorno. El almacenamiento persistente del conjunto completo resultó poco práctico por espacio, por lo que las corridas A100 finales usaron cache_mode: none después de copiar los NIfTI desde Google Drive al disco local del </w:t>
      </w:r>
      <w:r w:rsidRPr="06910F8B" w:rsidR="6A5F4401">
        <w:rPr>
          <w:i w:val="1"/>
          <w:iCs w:val="1"/>
        </w:rPr>
        <w:t>runtime</w:t>
      </w:r>
      <w:r w:rsidR="6A5F4401">
        <w:rPr/>
        <w:t>.</w:t>
      </w:r>
      <w:commentRangeEnd w:id="36"/>
      <w:r>
        <w:rPr>
          <w:rStyle w:val="CommentReference"/>
        </w:rPr>
        <w:commentReference w:id="36"/>
      </w:r>
    </w:p>
    <w:p w:rsidR="06910F8B" w:rsidRDefault="06910F8B" w14:paraId="5A2F2A11" w14:textId="608302C5"/>
    <w:p w:rsidR="00914FAA" w:rsidP="6E9E5ECF" w:rsidRDefault="000E7DA8" w14:paraId="495492ED" w14:textId="77777777">
      <w:pPr>
        <w:pStyle w:val="Ttulo3"/>
        <w:rPr>
          <w:i/>
          <w:iCs/>
        </w:rPr>
      </w:pPr>
      <w:bookmarkStart w:name="_Toc1952222429" w:id="91"/>
      <w:bookmarkStart w:name="familias-de-modelos-y-factory" w:id="92"/>
      <w:bookmarkEnd w:id="83"/>
      <w:r>
        <w:lastRenderedPageBreak/>
        <w:t xml:space="preserve">4.3.5. Familias de modelos y </w:t>
      </w:r>
      <w:r w:rsidRPr="6E9E5ECF">
        <w:rPr>
          <w:i/>
          <w:iCs/>
        </w:rPr>
        <w:t>factory</w:t>
      </w:r>
      <w:bookmarkEnd w:id="91"/>
    </w:p>
    <w:p w:rsidR="00914FAA" w:rsidRDefault="000E7DA8" w14:paraId="4C957C9E" w14:textId="77777777">
      <w:r w:rsidR="6A5F4401">
        <w:rPr/>
        <w:t xml:space="preserve">La función build_model de </w:t>
      </w:r>
      <w:r w:rsidRPr="06910F8B" w:rsidR="6A5F4401">
        <w:rPr>
          <w:rFonts w:ascii="Consolas" w:hAnsi="Consolas" w:eastAsia="Consolas" w:cs="Consolas"/>
        </w:rPr>
        <w:t>monai_pipeline.py</w:t>
      </w:r>
      <w:r w:rsidR="6A5F4401">
        <w:rPr/>
        <w:t xml:space="preserve"> construye las tres familias integradas en la </w:t>
      </w:r>
      <w:r w:rsidRPr="06910F8B" w:rsidR="6A5F4401">
        <w:rPr>
          <w:i w:val="1"/>
          <w:iCs w:val="1"/>
        </w:rPr>
        <w:t>pipeline</w:t>
      </w:r>
      <w:r w:rsidR="6A5F4401">
        <w:rPr/>
        <w:t xml:space="preserve"> propia: Residual U-Net, Attention U-Net y Swin-UNETR. nnU-Net no pasa por esta </w:t>
      </w:r>
      <w:r w:rsidRPr="06910F8B" w:rsidR="6A5F4401">
        <w:rPr>
          <w:i w:val="1"/>
          <w:iCs w:val="1"/>
        </w:rPr>
        <w:t>factory</w:t>
      </w:r>
      <w:r w:rsidR="6A5F4401">
        <w:rPr/>
        <w:t>: se ejecuta con su CLI nativa y conserva su planificación, preprocesamiento y entrenamiento. La Tabla 10 distingue las cuatro familias de modelos y, dentro de la residual, las cuatro variantes de fusión evaluadas.</w:t>
      </w:r>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14FAA" w:rsidTr="06910F8B" w14:paraId="1F61905F" w14:textId="77777777">
        <w:trPr>
          <w:cantSplit/>
          <w:tblHeader/>
          <w:jc w:val="center"/>
        </w:trPr>
        <w:tc>
          <w:tcPr>
            <w:tcW w:w="2126" w:type="dxa"/>
            <w:shd w:val="clear" w:color="auto" w:fill="ED7D31"/>
            <w:tcMar>
              <w:top w:w="70" w:type="dxa"/>
              <w:left w:w="70" w:type="dxa"/>
              <w:bottom w:w="70" w:type="dxa"/>
              <w:right w:w="70" w:type="dxa"/>
            </w:tcMar>
            <w:vAlign w:val="center"/>
          </w:tcPr>
          <w:p w:rsidR="00914FAA" w:rsidP="06910F8B" w:rsidRDefault="000E7DA8" w14:paraId="1DDA902B"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Familia y configuración</w:t>
            </w:r>
          </w:p>
        </w:tc>
        <w:tc>
          <w:tcPr>
            <w:tcW w:w="2126" w:type="dxa"/>
            <w:shd w:val="clear" w:color="auto" w:fill="ED7D31"/>
            <w:tcMar>
              <w:top w:w="70" w:type="dxa"/>
              <w:left w:w="70" w:type="dxa"/>
              <w:bottom w:w="70" w:type="dxa"/>
              <w:right w:w="70" w:type="dxa"/>
            </w:tcMar>
            <w:vAlign w:val="center"/>
          </w:tcPr>
          <w:p w:rsidR="00914FAA" w:rsidP="06910F8B" w:rsidRDefault="000E7DA8" w14:paraId="64D98222"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Implementación</w:t>
            </w:r>
          </w:p>
        </w:tc>
        <w:tc>
          <w:tcPr>
            <w:tcW w:w="2126" w:type="dxa"/>
            <w:shd w:val="clear" w:color="auto" w:fill="ED7D31"/>
            <w:tcMar>
              <w:top w:w="70" w:type="dxa"/>
              <w:left w:w="70" w:type="dxa"/>
              <w:bottom w:w="70" w:type="dxa"/>
              <w:right w:w="70" w:type="dxa"/>
            </w:tcMar>
            <w:vAlign w:val="center"/>
          </w:tcPr>
          <w:p w:rsidR="00914FAA" w:rsidP="06910F8B" w:rsidRDefault="000E7DA8" w14:paraId="07623B41"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Hiperparámetros o rasgo principal</w:t>
            </w:r>
          </w:p>
        </w:tc>
        <w:tc>
          <w:tcPr>
            <w:tcW w:w="2126" w:type="dxa"/>
            <w:shd w:val="clear" w:color="auto" w:fill="ED7D31"/>
            <w:tcMar>
              <w:top w:w="70" w:type="dxa"/>
              <w:left w:w="70" w:type="dxa"/>
              <w:bottom w:w="70" w:type="dxa"/>
              <w:right w:w="70" w:type="dxa"/>
            </w:tcMar>
            <w:vAlign w:val="center"/>
          </w:tcPr>
          <w:p w:rsidR="00914FAA" w:rsidP="06910F8B" w:rsidRDefault="000E7DA8" w14:paraId="5E87EB7A"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Parámetros</w:t>
            </w:r>
          </w:p>
        </w:tc>
      </w:tr>
      <w:tr w:rsidR="00914FAA" w:rsidTr="06910F8B" w14:paraId="216FB1F9"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7CEC594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concatenación</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122B32D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MONAI UNet + FusionUNet</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1E4B629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canales (16, 32, 64, 128); num_res_units=2; identidad de entrada</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4D11081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1.190.358</w:t>
            </w:r>
          </w:p>
        </w:tc>
      </w:tr>
      <w:tr w:rsidR="00914FAA" w:rsidTr="06910F8B" w14:paraId="5E4AC3E6" w14:textId="77777777">
        <w:trPr>
          <w:cantSplit/>
          <w:jc w:val="center"/>
        </w:trPr>
        <w:tc>
          <w:tcPr>
            <w:tcW w:w="2126" w:type="dxa"/>
            <w:shd w:val="clear" w:color="auto" w:fill="FCE4D6"/>
            <w:tcMar>
              <w:top w:w="70" w:type="dxa"/>
              <w:left w:w="70" w:type="dxa"/>
              <w:bottom w:w="70" w:type="dxa"/>
              <w:right w:w="70" w:type="dxa"/>
            </w:tcMar>
            <w:vAlign w:val="center"/>
          </w:tcPr>
          <w:p w:rsidR="00914FAA" w:rsidP="06910F8B" w:rsidRDefault="000E7DA8" w14:paraId="550B549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ponderación global</w:t>
            </w:r>
          </w:p>
        </w:tc>
        <w:tc>
          <w:tcPr>
            <w:tcW w:w="2126" w:type="dxa"/>
            <w:shd w:val="clear" w:color="auto" w:fill="FCE4D6"/>
            <w:tcMar>
              <w:top w:w="70" w:type="dxa"/>
              <w:left w:w="70" w:type="dxa"/>
              <w:bottom w:w="70" w:type="dxa"/>
              <w:right w:w="70" w:type="dxa"/>
            </w:tcMar>
            <w:vAlign w:val="center"/>
          </w:tcPr>
          <w:p w:rsidR="00914FAA" w:rsidP="06910F8B" w:rsidRDefault="000E7DA8" w14:paraId="2EB98C29"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MONAI UNet + FusionUNet</w:t>
            </w:r>
          </w:p>
        </w:tc>
        <w:tc>
          <w:tcPr>
            <w:tcW w:w="2126" w:type="dxa"/>
            <w:shd w:val="clear" w:color="auto" w:fill="FCE4D6"/>
            <w:tcMar>
              <w:top w:w="70" w:type="dxa"/>
              <w:left w:w="70" w:type="dxa"/>
              <w:bottom w:w="70" w:type="dxa"/>
              <w:right w:w="70" w:type="dxa"/>
            </w:tcMar>
            <w:vAlign w:val="center"/>
          </w:tcPr>
          <w:p w:rsidR="00914FAA" w:rsidP="06910F8B" w:rsidRDefault="000E7DA8" w14:paraId="1F42D02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cuatro escalares aprendidos</w:t>
            </w:r>
          </w:p>
        </w:tc>
        <w:tc>
          <w:tcPr>
            <w:tcW w:w="2126" w:type="dxa"/>
            <w:shd w:val="clear" w:color="auto" w:fill="FCE4D6"/>
            <w:tcMar>
              <w:top w:w="70" w:type="dxa"/>
              <w:left w:w="70" w:type="dxa"/>
              <w:bottom w:w="70" w:type="dxa"/>
              <w:right w:w="70" w:type="dxa"/>
            </w:tcMar>
            <w:vAlign w:val="center"/>
          </w:tcPr>
          <w:p w:rsidR="00914FAA" w:rsidP="06910F8B" w:rsidRDefault="000E7DA8" w14:paraId="6138E23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1.190.362 (+4)</w:t>
            </w:r>
          </w:p>
        </w:tc>
      </w:tr>
      <w:tr w:rsidR="00914FAA" w:rsidTr="06910F8B" w14:paraId="0AD6B89B"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754A34A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compuerta por media</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3AD3E72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MONAI UNet + FusionUNet</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6E57AB6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descriptor 4; MLP 4 → 8 → 4</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34570E9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1.190.434 (+76)</w:t>
            </w:r>
          </w:p>
        </w:tc>
      </w:tr>
      <w:tr w:rsidR="00914FAA" w:rsidTr="06910F8B" w14:paraId="2021E39F" w14:textId="77777777">
        <w:trPr>
          <w:cantSplit/>
          <w:jc w:val="center"/>
        </w:trPr>
        <w:tc>
          <w:tcPr>
            <w:tcW w:w="2126" w:type="dxa"/>
            <w:shd w:val="clear" w:color="auto" w:fill="FCE4D6"/>
            <w:tcMar>
              <w:top w:w="70" w:type="dxa"/>
              <w:left w:w="70" w:type="dxa"/>
              <w:bottom w:w="70" w:type="dxa"/>
              <w:right w:w="70" w:type="dxa"/>
            </w:tcMar>
            <w:vAlign w:val="center"/>
          </w:tcPr>
          <w:p w:rsidR="00914FAA" w:rsidP="06910F8B" w:rsidRDefault="000E7DA8" w14:paraId="6A74C34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compuerta media+desv.</w:t>
            </w:r>
          </w:p>
        </w:tc>
        <w:tc>
          <w:tcPr>
            <w:tcW w:w="2126" w:type="dxa"/>
            <w:shd w:val="clear" w:color="auto" w:fill="FCE4D6"/>
            <w:tcMar>
              <w:top w:w="70" w:type="dxa"/>
              <w:left w:w="70" w:type="dxa"/>
              <w:bottom w:w="70" w:type="dxa"/>
              <w:right w:w="70" w:type="dxa"/>
            </w:tcMar>
            <w:vAlign w:val="center"/>
          </w:tcPr>
          <w:p w:rsidR="00914FAA" w:rsidP="06910F8B" w:rsidRDefault="000E7DA8" w14:paraId="1C75A5F6"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MONAI UNet + FusionUNet</w:t>
            </w:r>
          </w:p>
        </w:tc>
        <w:tc>
          <w:tcPr>
            <w:tcW w:w="2126" w:type="dxa"/>
            <w:shd w:val="clear" w:color="auto" w:fill="FCE4D6"/>
            <w:tcMar>
              <w:top w:w="70" w:type="dxa"/>
              <w:left w:w="70" w:type="dxa"/>
              <w:bottom w:w="70" w:type="dxa"/>
              <w:right w:w="70" w:type="dxa"/>
            </w:tcMar>
            <w:vAlign w:val="center"/>
          </w:tcPr>
          <w:p w:rsidR="00914FAA" w:rsidP="06910F8B" w:rsidRDefault="000E7DA8" w14:paraId="686C964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descriptor 8; MLP 8 → 8 → 4</w:t>
            </w:r>
          </w:p>
        </w:tc>
        <w:tc>
          <w:tcPr>
            <w:tcW w:w="2126" w:type="dxa"/>
            <w:shd w:val="clear" w:color="auto" w:fill="FCE4D6"/>
            <w:tcMar>
              <w:top w:w="70" w:type="dxa"/>
              <w:left w:w="70" w:type="dxa"/>
              <w:bottom w:w="70" w:type="dxa"/>
              <w:right w:w="70" w:type="dxa"/>
            </w:tcMar>
            <w:vAlign w:val="center"/>
          </w:tcPr>
          <w:p w:rsidR="00914FAA" w:rsidP="06910F8B" w:rsidRDefault="000E7DA8" w14:paraId="28CEC9D6"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1.190.466 (+108)</w:t>
            </w:r>
          </w:p>
        </w:tc>
      </w:tr>
      <w:tr w:rsidR="00914FAA" w:rsidTr="06910F8B" w14:paraId="769FFB1F"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4F260C2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Attention U-Net 3D</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01ADE3C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MONAI AttentionUnet</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0708236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canales (16, 32, 64, 128, 256); cuatro niveles de reducción</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5E44208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5.910.443</w:t>
            </w:r>
          </w:p>
        </w:tc>
      </w:tr>
      <w:tr w:rsidR="00914FAA" w:rsidTr="06910F8B" w14:paraId="185D1E49" w14:textId="77777777">
        <w:trPr>
          <w:cantSplit/>
          <w:jc w:val="center"/>
        </w:trPr>
        <w:tc>
          <w:tcPr>
            <w:tcW w:w="2126" w:type="dxa"/>
            <w:shd w:val="clear" w:color="auto" w:fill="FCE4D6"/>
            <w:tcMar>
              <w:top w:w="70" w:type="dxa"/>
              <w:left w:w="70" w:type="dxa"/>
              <w:bottom w:w="70" w:type="dxa"/>
              <w:right w:w="70" w:type="dxa"/>
            </w:tcMar>
            <w:vAlign w:val="center"/>
          </w:tcPr>
          <w:p w:rsidR="00914FAA" w:rsidP="06910F8B" w:rsidRDefault="000E7DA8" w14:paraId="7271D85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Swin-UNETR</w:t>
            </w:r>
          </w:p>
        </w:tc>
        <w:tc>
          <w:tcPr>
            <w:tcW w:w="2126" w:type="dxa"/>
            <w:shd w:val="clear" w:color="auto" w:fill="FCE4D6"/>
            <w:tcMar>
              <w:top w:w="70" w:type="dxa"/>
              <w:left w:w="70" w:type="dxa"/>
              <w:bottom w:w="70" w:type="dxa"/>
              <w:right w:w="70" w:type="dxa"/>
            </w:tcMar>
            <w:vAlign w:val="center"/>
          </w:tcPr>
          <w:p w:rsidR="00914FAA" w:rsidP="06910F8B" w:rsidRDefault="000E7DA8" w14:paraId="1486244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MONAI SwinUNETR</w:t>
            </w:r>
          </w:p>
        </w:tc>
        <w:tc>
          <w:tcPr>
            <w:tcW w:w="2126" w:type="dxa"/>
            <w:shd w:val="clear" w:color="auto" w:fill="FCE4D6"/>
            <w:tcMar>
              <w:top w:w="70" w:type="dxa"/>
              <w:left w:w="70" w:type="dxa"/>
              <w:bottom w:w="70" w:type="dxa"/>
              <w:right w:w="70" w:type="dxa"/>
            </w:tcMar>
            <w:vAlign w:val="center"/>
          </w:tcPr>
          <w:p w:rsidR="00914FAA" w:rsidP="06910F8B" w:rsidRDefault="000E7DA8" w14:paraId="79299B9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feature_size=48; profundidades (2, 2, 2, 2); cabezas (3, 6, 12, 24)</w:t>
            </w:r>
          </w:p>
        </w:tc>
        <w:tc>
          <w:tcPr>
            <w:tcW w:w="2126" w:type="dxa"/>
            <w:shd w:val="clear" w:color="auto" w:fill="FCE4D6"/>
            <w:tcMar>
              <w:top w:w="70" w:type="dxa"/>
              <w:left w:w="70" w:type="dxa"/>
              <w:bottom w:w="70" w:type="dxa"/>
              <w:right w:w="70" w:type="dxa"/>
            </w:tcMar>
            <w:vAlign w:val="center"/>
          </w:tcPr>
          <w:p w:rsidR="00914FAA" w:rsidP="06910F8B" w:rsidRDefault="000E7DA8" w14:paraId="4C41EE3B"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62.191.941</w:t>
            </w:r>
          </w:p>
        </w:tc>
      </w:tr>
      <w:tr w:rsidR="00914FAA" w:rsidTr="06910F8B" w14:paraId="5C155C09"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475F899F"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nnU-Net 3d_fullres</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372F6DF5"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nnU-Net v2, externo</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319A17A3"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Arquitectura y preprocesamiento auto-configurados</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7F899490"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Auto-configurado</w:t>
            </w:r>
          </w:p>
        </w:tc>
      </w:tr>
    </w:tbl>
    <w:p w:rsidR="00914FAA" w:rsidRDefault="000E7DA8" w14:paraId="3A78ABB2" w14:textId="77777777">
      <w:pPr>
        <w:pStyle w:val="Descripcin"/>
        <w:keepLines/>
      </w:pPr>
      <w:bookmarkStart w:name="_Toc235507368" w:id="93"/>
      <w:r>
        <w:rPr>
          <w:b/>
        </w:rPr>
        <w:t xml:space="preserve">Tabla </w:t>
      </w:r>
      <w:r>
        <w:fldChar w:fldCharType="begin"/>
      </w:r>
      <w:r>
        <w:instrText xml:space="preserve"> SEQ Tabla \* ARABIC </w:instrText>
      </w:r>
      <w:r>
        <w:fldChar w:fldCharType="separate"/>
      </w:r>
      <w:r>
        <w:rPr>
          <w:b/>
        </w:rPr>
        <w:t>10</w:t>
      </w:r>
      <w:r>
        <w:fldChar w:fldCharType="end"/>
      </w:r>
      <w:r>
        <w:rPr>
          <w:b/>
        </w:rPr>
        <w:t xml:space="preserve">. </w:t>
      </w:r>
      <w:r>
        <w:t>Familias y configuraciones finales, ruta de implementación y número de parámetros.</w:t>
      </w:r>
      <w:bookmarkEnd w:id="93"/>
    </w:p>
    <w:p w:rsidR="00914FAA" w:rsidRDefault="000E7DA8" w14:paraId="425FB11E" w14:textId="06A2629A">
      <w:r w:rsidR="6A5F4401">
        <w:rPr/>
        <w:t>La tabla evidencia dos escalas distintas. Las cuatro configuraciones residuales mantienen fija una red de aproximadamente 1,19 millones de parámetros y solo cambian el bloque de entrada</w:t>
      </w:r>
      <w:r w:rsidR="4C5C7767">
        <w:rPr/>
        <w:t xml:space="preserve">. Por otro lado, </w:t>
      </w:r>
      <w:r w:rsidR="6A5F4401">
        <w:rPr/>
        <w:t>Attention</w:t>
      </w:r>
      <w:r w:rsidR="6A5F4401">
        <w:rPr/>
        <w:t xml:space="preserve"> U-Net y, especialmente, Swin-UNETR aumentan la capacidad. </w:t>
      </w:r>
      <w:r w:rsidR="6A5F4401">
        <w:rPr/>
        <w:t>nnU</w:t>
      </w:r>
      <w:r w:rsidR="6A5F4401">
        <w:rPr/>
        <w:t xml:space="preserve">-Net se incluye como familia de referencia, no como una configuración construida por la </w:t>
      </w:r>
      <w:r w:rsidRPr="06910F8B" w:rsidR="6A5F4401">
        <w:rPr>
          <w:i w:val="1"/>
          <w:iCs w:val="1"/>
        </w:rPr>
        <w:t>factory</w:t>
      </w:r>
      <w:r w:rsidR="6A5F4401">
        <w:rPr/>
        <w:t xml:space="preserve"> ni como parte de la ablación.</w:t>
      </w:r>
    </w:p>
    <w:p w:rsidR="00914FAA" w:rsidRDefault="000E7DA8" w14:paraId="6C1AA37D" w14:textId="4630B2D3">
      <w:commentRangeStart w:id="37"/>
      <w:r w:rsidR="6A5F4401">
        <w:rPr/>
        <w:t xml:space="preserve">La generalización de </w:t>
      </w:r>
      <w:r w:rsidR="6A5F4401">
        <w:rPr/>
        <w:t>build_model</w:t>
      </w:r>
      <w:r w:rsidR="6A5F4401">
        <w:rPr/>
        <w:t xml:space="preserve"> para despachar entre Residual U-Net, </w:t>
      </w:r>
      <w:r w:rsidR="6A5F4401">
        <w:rPr/>
        <w:t>Attention</w:t>
      </w:r>
      <w:r w:rsidR="6A5F4401">
        <w:rPr/>
        <w:t xml:space="preserve"> U-Net y Swin-UNETR fue una de las adaptaciones realizadas durante el proyecto. Swin-UNETR admite además </w:t>
      </w:r>
      <w:r w:rsidR="6A5F4401">
        <w:rPr/>
        <w:t>use_checkpoint</w:t>
      </w:r>
      <w:r w:rsidR="560AE57E">
        <w:rPr/>
        <w:t xml:space="preserve">. </w:t>
      </w:r>
      <w:r w:rsidR="560AE57E">
        <w:rPr/>
        <w:t>E</w:t>
      </w:r>
      <w:r w:rsidR="6A5F4401">
        <w:rPr/>
        <w:t xml:space="preserve">sta opción se probó para el entorno L4, aunque las corridas finales A100 usaron la configuración sin </w:t>
      </w:r>
      <w:r w:rsidRPr="06910F8B" w:rsidR="6A5F4401">
        <w:rPr>
          <w:i w:val="1"/>
          <w:iCs w:val="1"/>
        </w:rPr>
        <w:t>gradient</w:t>
      </w:r>
      <w:r w:rsidRPr="06910F8B" w:rsidR="6A5F4401">
        <w:rPr>
          <w:i w:val="1"/>
          <w:iCs w:val="1"/>
        </w:rPr>
        <w:t xml:space="preserve"> </w:t>
      </w:r>
      <w:r w:rsidRPr="06910F8B" w:rsidR="6A5F4401">
        <w:rPr>
          <w:i w:val="1"/>
          <w:iCs w:val="1"/>
        </w:rPr>
        <w:t>checkpointing</w:t>
      </w:r>
      <w:r w:rsidR="6A5F4401">
        <w:rPr/>
        <w:t>.</w:t>
      </w:r>
      <w:commentRangeEnd w:id="37"/>
      <w:r>
        <w:rPr>
          <w:rStyle w:val="CommentReference"/>
        </w:rPr>
        <w:commentReference w:id="37"/>
      </w:r>
    </w:p>
    <w:p w:rsidR="06910F8B" w:rsidRDefault="06910F8B" w14:paraId="2D1C2BD5" w14:textId="5CE2C601"/>
    <w:p w:rsidR="00914FAA" w:rsidRDefault="000E7DA8" w14:paraId="54FED936" w14:textId="77777777">
      <w:pPr>
        <w:pStyle w:val="Ttulo3"/>
      </w:pPr>
      <w:bookmarkStart w:name="_Toc2045444893" w:id="94"/>
      <w:bookmarkStart w:name="mecanismos-de-fusión-multimodal" w:id="95"/>
      <w:bookmarkEnd w:id="87"/>
      <w:r>
        <w:t>4.3.6. Mecanismos de fusión multimodal</w:t>
      </w:r>
      <w:bookmarkEnd w:id="94"/>
    </w:p>
    <w:p w:rsidR="00914FAA" w:rsidRDefault="000E7DA8" w14:paraId="4FDFCE8C" w14:textId="77777777">
      <w:r>
        <w:t>La comparación principal modifica únicamente el tratamiento de los cuatro canales antes del codificador residual. FusionUNet aplica un módulo de fusión y entrega el tensor resultante a la misma U-Net:</w:t>
      </w:r>
    </w:p>
    <w:p w:rsidR="00914FAA" w:rsidRDefault="000E7DA8" w14:paraId="5803BA35" w14:textId="77777777">
      <w:pPr>
        <w:pStyle w:val="TFMCode"/>
        <w:widowControl w:val="0"/>
        <w:pBdr>
          <w:left w:val="single" w:color="ED7D31" w:sz="12" w:space="8"/>
        </w:pBdr>
        <w:shd w:val="clear" w:color="auto" w:fill="F2F2F2"/>
      </w:pPr>
      <w:r>
        <w:rPr>
          <w:rStyle w:val="KeywordTok"/>
          <w:rFonts w:eastAsia="Consolas" w:cs="Consolas"/>
          <w:noProof/>
          <w:color w:val="1F1F1F"/>
        </w:rPr>
        <w:t>class</w:t>
      </w:r>
      <w:r>
        <w:rPr>
          <w:rStyle w:val="NormalTok"/>
          <w:rFonts w:eastAsia="Consolas" w:cs="Consolas"/>
          <w:noProof/>
          <w:color w:val="1F1F1F"/>
        </w:rPr>
        <w:t xml:space="preserve"> FusionUNet(nn.Module):</w:t>
      </w:r>
      <w:r>
        <w:rPr>
          <w:rFonts w:eastAsia="Consolas" w:cs="Consolas"/>
          <w:noProof/>
          <w:color w:val="1F1F1F"/>
        </w:rPr>
        <w:br/>
      </w:r>
      <w:r>
        <w:rPr>
          <w:rStyle w:val="NormalTok"/>
          <w:rFonts w:eastAsia="Consolas" w:cs="Consolas"/>
          <w:noProof/>
          <w:color w:val="1F1F1F"/>
        </w:rPr>
        <w:t xml:space="preserve">    </w:t>
      </w:r>
      <w:r>
        <w:rPr>
          <w:rStyle w:val="KeywordTok"/>
          <w:rFonts w:eastAsia="Consolas" w:cs="Consolas"/>
          <w:noProof/>
          <w:color w:val="1F1F1F"/>
        </w:rPr>
        <w:t>def</w:t>
      </w:r>
      <w:r>
        <w:rPr>
          <w:rStyle w:val="NormalTok"/>
          <w:rFonts w:eastAsia="Consolas" w:cs="Consolas"/>
          <w:noProof/>
          <w:color w:val="1F1F1F"/>
        </w:rPr>
        <w:t xml:space="preserve"> </w:t>
      </w:r>
      <w:r>
        <w:rPr>
          <w:rStyle w:val="FunctionTok"/>
          <w:rFonts w:eastAsia="Consolas" w:cs="Consolas"/>
          <w:noProof/>
          <w:color w:val="1F1F1F"/>
        </w:rPr>
        <w:t>__init__</w:t>
      </w:r>
      <w:r>
        <w:rPr>
          <w:rStyle w:val="NormalTok"/>
          <w:rFonts w:eastAsia="Consolas" w:cs="Consolas"/>
          <w:noProof/>
          <w:color w:val="1F1F1F"/>
        </w:rPr>
        <w:t>(</w:t>
      </w:r>
      <w:r>
        <w:rPr>
          <w:rStyle w:val="VariableTok"/>
          <w:rFonts w:eastAsia="Consolas" w:cs="Consolas"/>
          <w:noProof/>
          <w:color w:val="1F1F1F"/>
        </w:rPr>
        <w:t>self</w:t>
      </w:r>
      <w:r>
        <w:rPr>
          <w:rStyle w:val="NormalTok"/>
          <w:rFonts w:eastAsia="Consolas" w:cs="Consolas"/>
          <w:noProof/>
          <w:color w:val="1F1F1F"/>
        </w:rPr>
        <w:t>, fusion, unet):</w:t>
      </w:r>
      <w:r>
        <w:rPr>
          <w:rFonts w:eastAsia="Consolas" w:cs="Consolas"/>
          <w:noProof/>
          <w:color w:val="1F1F1F"/>
        </w:rPr>
        <w:br/>
      </w:r>
      <w:r>
        <w:rPr>
          <w:rStyle w:val="NormalTok"/>
          <w:rFonts w:eastAsia="Consolas" w:cs="Consolas"/>
          <w:noProof/>
          <w:color w:val="1F1F1F"/>
        </w:rPr>
        <w:t xml:space="preserve">        </w:t>
      </w:r>
      <w:r>
        <w:rPr>
          <w:rStyle w:val="BuiltInTok"/>
          <w:rFonts w:eastAsia="Consolas" w:cs="Consolas"/>
          <w:noProof/>
          <w:color w:val="1F1F1F"/>
        </w:rPr>
        <w:t>super</w:t>
      </w:r>
      <w:r>
        <w:rPr>
          <w:rStyle w:val="NormalTok"/>
          <w:rFonts w:eastAsia="Consolas" w:cs="Consolas"/>
          <w:noProof/>
          <w:color w:val="1F1F1F"/>
        </w:rPr>
        <w:t>().</w:t>
      </w:r>
      <w:r>
        <w:rPr>
          <w:rStyle w:val="FunctionTok"/>
          <w:rFonts w:eastAsia="Consolas" w:cs="Consolas"/>
          <w:noProof/>
          <w:color w:val="1F1F1F"/>
        </w:rPr>
        <w:t>__init__</w:t>
      </w:r>
      <w:r>
        <w:rPr>
          <w:rStyle w:val="Normal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VariableTok"/>
          <w:rFonts w:eastAsia="Consolas" w:cs="Consolas"/>
          <w:noProof/>
          <w:color w:val="1F1F1F"/>
        </w:rPr>
        <w:t>self</w:t>
      </w:r>
      <w:r>
        <w:rPr>
          <w:rStyle w:val="NormalTok"/>
          <w:rFonts w:eastAsia="Consolas" w:cs="Consolas"/>
          <w:noProof/>
          <w:color w:val="1F1F1F"/>
        </w:rPr>
        <w:t xml:space="preserve">.fusion </w:t>
      </w:r>
      <w:r>
        <w:rPr>
          <w:rStyle w:val="OperatorTok"/>
          <w:rFonts w:eastAsia="Consolas" w:cs="Consolas"/>
          <w:noProof/>
          <w:color w:val="1F1F1F"/>
        </w:rPr>
        <w:t>=</w:t>
      </w:r>
      <w:r>
        <w:rPr>
          <w:rStyle w:val="NormalTok"/>
          <w:rFonts w:eastAsia="Consolas" w:cs="Consolas"/>
          <w:noProof/>
          <w:color w:val="1F1F1F"/>
        </w:rPr>
        <w:t xml:space="preserve"> fusion</w:t>
      </w:r>
      <w:r>
        <w:rPr>
          <w:rFonts w:eastAsia="Consolas" w:cs="Consolas"/>
          <w:noProof/>
          <w:color w:val="1F1F1F"/>
        </w:rPr>
        <w:br/>
      </w:r>
      <w:r>
        <w:rPr>
          <w:rStyle w:val="NormalTok"/>
          <w:rFonts w:eastAsia="Consolas" w:cs="Consolas"/>
          <w:noProof/>
          <w:color w:val="1F1F1F"/>
        </w:rPr>
        <w:t xml:space="preserve">        </w:t>
      </w:r>
      <w:r>
        <w:rPr>
          <w:rStyle w:val="VariableTok"/>
          <w:rFonts w:eastAsia="Consolas" w:cs="Consolas"/>
          <w:noProof/>
          <w:color w:val="1F1F1F"/>
        </w:rPr>
        <w:t>self</w:t>
      </w:r>
      <w:r>
        <w:rPr>
          <w:rStyle w:val="NormalTok"/>
          <w:rFonts w:eastAsia="Consolas" w:cs="Consolas"/>
          <w:noProof/>
          <w:color w:val="1F1F1F"/>
        </w:rPr>
        <w:t xml:space="preserve">.unet </w:t>
      </w:r>
      <w:r>
        <w:rPr>
          <w:rStyle w:val="OperatorTok"/>
          <w:rFonts w:eastAsia="Consolas" w:cs="Consolas"/>
          <w:noProof/>
          <w:color w:val="1F1F1F"/>
        </w:rPr>
        <w:t>=</w:t>
      </w:r>
      <w:r>
        <w:rPr>
          <w:rStyle w:val="NormalTok"/>
          <w:rFonts w:eastAsia="Consolas" w:cs="Consolas"/>
          <w:noProof/>
          <w:color w:val="1F1F1F"/>
        </w:rPr>
        <w:t xml:space="preserve"> unet</w:t>
      </w:r>
      <w:r>
        <w:rPr>
          <w:rFonts w:eastAsia="Consolas" w:cs="Consolas"/>
          <w:noProof/>
          <w:color w:val="1F1F1F"/>
        </w:rPr>
        <w:br/>
      </w:r>
      <w:r>
        <w:rPr>
          <w:rFonts w:eastAsia="Consolas" w:cs="Consolas"/>
          <w:noProof/>
          <w:color w:val="1F1F1F"/>
        </w:rPr>
        <w:lastRenderedPageBreak/>
        <w:br/>
      </w:r>
      <w:r>
        <w:rPr>
          <w:rStyle w:val="NormalTok"/>
          <w:rFonts w:eastAsia="Consolas" w:cs="Consolas"/>
          <w:noProof/>
          <w:color w:val="1F1F1F"/>
        </w:rPr>
        <w:t xml:space="preserve">    </w:t>
      </w:r>
      <w:r>
        <w:rPr>
          <w:rStyle w:val="KeywordTok"/>
          <w:rFonts w:eastAsia="Consolas" w:cs="Consolas"/>
          <w:noProof/>
          <w:color w:val="1F1F1F"/>
        </w:rPr>
        <w:t>def</w:t>
      </w:r>
      <w:r>
        <w:rPr>
          <w:rStyle w:val="NormalTok"/>
          <w:rFonts w:eastAsia="Consolas" w:cs="Consolas"/>
          <w:noProof/>
          <w:color w:val="1F1F1F"/>
        </w:rPr>
        <w:t xml:space="preserve"> forward(</w:t>
      </w:r>
      <w:r>
        <w:rPr>
          <w:rStyle w:val="VariableTok"/>
          <w:rFonts w:eastAsia="Consolas" w:cs="Consolas"/>
          <w:noProof/>
          <w:color w:val="1F1F1F"/>
        </w:rPr>
        <w:t>self</w:t>
      </w:r>
      <w:r>
        <w:rPr>
          <w:rStyle w:val="NormalTok"/>
          <w:rFonts w:eastAsia="Consolas" w:cs="Consolas"/>
          <w:noProof/>
          <w:color w:val="1F1F1F"/>
        </w:rPr>
        <w:t>, x):</w:t>
      </w:r>
      <w:r>
        <w:rPr>
          <w:rFonts w:eastAsia="Consolas" w:cs="Consolas"/>
          <w:noProof/>
          <w:color w:val="1F1F1F"/>
        </w:rPr>
        <w:br/>
      </w:r>
      <w:r>
        <w:rPr>
          <w:rStyle w:val="NormalTok"/>
          <w:rFonts w:eastAsia="Consolas" w:cs="Consolas"/>
          <w:noProof/>
          <w:color w:val="1F1F1F"/>
        </w:rPr>
        <w:t xml:space="preserve">        </w:t>
      </w:r>
      <w:r>
        <w:rPr>
          <w:rStyle w:val="ControlFlowTok"/>
          <w:rFonts w:eastAsia="Consolas" w:cs="Consolas"/>
          <w:noProof/>
          <w:color w:val="1F1F1F"/>
        </w:rPr>
        <w:t>return</w:t>
      </w:r>
      <w:r>
        <w:rPr>
          <w:rStyle w:val="NormalTok"/>
          <w:rFonts w:eastAsia="Consolas" w:cs="Consolas"/>
          <w:noProof/>
          <w:color w:val="1F1F1F"/>
        </w:rPr>
        <w:t xml:space="preserve"> </w:t>
      </w:r>
      <w:r>
        <w:rPr>
          <w:rStyle w:val="VariableTok"/>
          <w:rFonts w:eastAsia="Consolas" w:cs="Consolas"/>
          <w:noProof/>
          <w:color w:val="1F1F1F"/>
        </w:rPr>
        <w:t>self</w:t>
      </w:r>
      <w:r>
        <w:rPr>
          <w:rStyle w:val="NormalTok"/>
          <w:rFonts w:eastAsia="Consolas" w:cs="Consolas"/>
          <w:noProof/>
          <w:color w:val="1F1F1F"/>
        </w:rPr>
        <w:t>.unet(</w:t>
      </w:r>
      <w:r>
        <w:rPr>
          <w:rStyle w:val="VariableTok"/>
          <w:rFonts w:eastAsia="Consolas" w:cs="Consolas"/>
          <w:noProof/>
          <w:color w:val="1F1F1F"/>
        </w:rPr>
        <w:t>self</w:t>
      </w:r>
      <w:r>
        <w:rPr>
          <w:rStyle w:val="NormalTok"/>
          <w:rFonts w:eastAsia="Consolas" w:cs="Consolas"/>
          <w:noProof/>
          <w:color w:val="1F1F1F"/>
        </w:rPr>
        <w:t>.fusion(x))</w:t>
      </w:r>
    </w:p>
    <w:p w:rsidR="00914FAA" w:rsidRDefault="000E7DA8" w14:paraId="220B6BEE" w14:textId="77777777">
      <w:r w:rsidR="6A5F4401">
        <w:rPr/>
        <w:t>La Figura 2 representa esta separación entre el bloque de entrada y la red de segmentación, así como los descriptores usados por las compuertas.</w:t>
      </w:r>
    </w:p>
    <w:p w:rsidR="00914FAA" w:rsidP="06910F8B" w:rsidRDefault="000E7DA8" w14:paraId="2B3859C9" w14:textId="28A12CC8">
      <w:pPr>
        <w:pStyle w:val="Normal"/>
        <w:keepNext w:val="1"/>
        <w:spacing w:before="120" w:after="0"/>
        <w:jc w:val="center"/>
      </w:pPr>
      <w:r w:rsidR="1929B876">
        <w:drawing>
          <wp:inline wp14:editId="405C1A99" wp14:anchorId="5CD3651D">
            <wp:extent cx="5400675" cy="4048125"/>
            <wp:effectExtent l="0" t="0" r="0" b="0"/>
            <wp:docPr id="2102547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2547361" name="Picture 2102547361"/>
                    <pic:cNvPicPr/>
                  </pic:nvPicPr>
                  <pic:blipFill>
                    <a:blip xmlns:r="http://schemas.openxmlformats.org/officeDocument/2006/relationships" r:embed="rId1669671144">
                      <a:extLst>
                        <a:ext uri="{28A0092B-C50C-407E-A947-70E740481C1C}">
                          <a14:useLocalDpi xmlns:a14="http://schemas.microsoft.com/office/drawing/2010/main"/>
                        </a:ext>
                      </a:extLst>
                    </a:blip>
                    <a:stretch>
                      <a:fillRect/>
                    </a:stretch>
                  </pic:blipFill>
                  <pic:spPr>
                    <a:xfrm>
                      <a:off x="0" y="0"/>
                      <a:ext cx="5400675" cy="4048125"/>
                    </a:xfrm>
                    <a:prstGeom prst="rect">
                      <a:avLst/>
                    </a:prstGeom>
                  </pic:spPr>
                </pic:pic>
              </a:graphicData>
            </a:graphic>
          </wp:inline>
        </w:drawing>
      </w:r>
    </w:p>
    <w:p w:rsidR="00914FAA" w:rsidRDefault="000E7DA8" w14:paraId="2BD94312" w14:textId="77777777">
      <w:pPr>
        <w:pStyle w:val="Descripcin"/>
        <w:keepLines/>
      </w:pPr>
      <w:bookmarkStart w:name="_Toc235507346" w:id="96"/>
      <w:r>
        <w:rPr>
          <w:b/>
        </w:rPr>
        <w:t xml:space="preserve">Figura </w:t>
      </w:r>
      <w:r>
        <w:fldChar w:fldCharType="begin"/>
      </w:r>
      <w:r>
        <w:instrText xml:space="preserve"> SEQ Figura \* ARABIC </w:instrText>
      </w:r>
      <w:r>
        <w:fldChar w:fldCharType="separate"/>
      </w:r>
      <w:r>
        <w:rPr>
          <w:b/>
        </w:rPr>
        <w:t>2</w:t>
      </w:r>
      <w:r>
        <w:fldChar w:fldCharType="end"/>
      </w:r>
      <w:r>
        <w:rPr>
          <w:b/>
        </w:rPr>
        <w:t xml:space="preserve">. </w:t>
      </w:r>
      <w:r>
        <w:t>Arquitectura de la ablación: cuatro modalidades, bloque de fusión anterior al codificador, Residual U-Net común y tres canales de salida. El detalle de la compuerta muestra la obtención de pesos globales por modalidad a partir de descriptores de la entrada.</w:t>
      </w:r>
      <w:bookmarkEnd w:id="96"/>
    </w:p>
    <w:p w:rsidR="00914FAA" w:rsidRDefault="000E7DA8" w14:paraId="48EED537" w14:textId="6D3C3420">
      <w:r w:rsidR="6A5F4401">
        <w:rPr/>
        <w:t>La figura subraya que la adaptación no es espacial ni se introduce en capas intermedias</w:t>
      </w:r>
      <w:r w:rsidR="34668F40">
        <w:rPr/>
        <w:t xml:space="preserve">. Para ello se </w:t>
      </w:r>
      <w:r w:rsidR="6A5F4401">
        <w:rPr/>
        <w:t>produce un peso por modalidad y muestra, y actúa antes de la primera convolución.</w:t>
      </w:r>
    </w:p>
    <w:p w:rsidR="00914FAA" w:rsidRDefault="000E7DA8" w14:paraId="0D768A5B" w14:textId="7481040E">
      <w:r w:rsidRPr="06910F8B" w:rsidR="6A5F4401">
        <w:rPr>
          <w:b w:val="1"/>
          <w:bCs w:val="1"/>
        </w:rPr>
        <w:t>Concatenación (</w:t>
      </w:r>
      <w:r w:rsidRPr="06910F8B" w:rsidR="6A5F4401">
        <w:rPr>
          <w:b w:val="1"/>
          <w:bCs w:val="1"/>
        </w:rPr>
        <w:t>concat</w:t>
      </w:r>
      <w:r w:rsidRPr="06910F8B" w:rsidR="6A5F4401">
        <w:rPr>
          <w:b w:val="1"/>
          <w:bCs w:val="1"/>
        </w:rPr>
        <w:t>).</w:t>
      </w:r>
      <w:r w:rsidR="6A5F4401">
        <w:rPr/>
        <w:t xml:space="preserve"> Se implementa como </w:t>
      </w:r>
      <w:r w:rsidRPr="06910F8B" w:rsidR="6A5F4401">
        <w:rPr>
          <w:rFonts w:ascii="Consolas" w:hAnsi="Consolas" w:eastAsia="Consolas" w:cs="Consolas"/>
        </w:rPr>
        <w:t>nn.Identity</w:t>
      </w:r>
      <w:r w:rsidRPr="06910F8B" w:rsidR="6A5F4401">
        <w:rPr>
          <w:rFonts w:ascii="Consolas" w:hAnsi="Consolas" w:eastAsia="Consolas" w:cs="Consolas"/>
        </w:rPr>
        <w:t>()</w:t>
      </w:r>
      <w:r w:rsidR="6A5F4401">
        <w:rPr/>
        <w:t>. No introduce una ponderación explícita</w:t>
      </w:r>
      <w:r w:rsidR="1EC3AC5A">
        <w:rPr/>
        <w:t>. L</w:t>
      </w:r>
      <w:r w:rsidR="6A5F4401">
        <w:rPr/>
        <w:t>os cuatro canales llegan directamente a la primera convolución de la U-Net.</w:t>
      </w:r>
    </w:p>
    <w:p w:rsidR="00914FAA" w:rsidRDefault="000E7DA8" w14:paraId="17A683B4" w14:textId="77777777">
      <w:r>
        <w:rPr>
          <w:b/>
          <w:bCs/>
        </w:rPr>
        <w:t>Ponderación global (global_weighted).</w:t>
      </w:r>
      <w:r>
        <w:t xml:space="preserve"> Aprende cuatro </w:t>
      </w:r>
      <w:r>
        <w:rPr>
          <w:i/>
          <w:iCs/>
        </w:rPr>
        <w:t>logits</w:t>
      </w:r>
      <w:r>
        <w:t xml:space="preserve"> independientes de la entrada. Tras aplicar </w:t>
      </w:r>
      <w:r>
        <w:rPr>
          <w:i/>
          <w:iCs/>
        </w:rPr>
        <w:t>softmax</w:t>
      </w:r>
      <w:r>
        <w:t>, cada canal se multiplica por su peso y por cuatro para preservar la escala media de activación. Añade cuatro parámetros y aplica la misma combinación a todos los estudios.</w:t>
      </w:r>
    </w:p>
    <w:p w:rsidR="00914FAA" w:rsidRDefault="000E7DA8" w14:paraId="6A173E2B" w14:textId="77777777">
      <w:r>
        <w:rPr>
          <w:b/>
          <w:bCs/>
        </w:rPr>
        <w:t>Compuerta adaptativa basada en la media (adaptive_gating).</w:t>
      </w:r>
      <w:r>
        <w:t xml:space="preserve"> Resume cada canal mediante su media espacial y procesa los cuatro descriptores con un MLP 4 → 8 → 4. Sus dos capas contienen 76 parámetros: 40 en la primera y 36 en la segunda, incluidos los sesgos. El </w:t>
      </w:r>
      <w:r>
        <w:rPr>
          <w:i/>
          <w:iCs/>
        </w:rPr>
        <w:t>softmax</w:t>
      </w:r>
      <w:r>
        <w:t xml:space="preserve"> se calcula por muestra y sus pesos vuelven a escalarse por cuatro.</w:t>
      </w:r>
    </w:p>
    <w:p w:rsidR="00914FAA" w:rsidRDefault="000E7DA8" w14:paraId="18B8F727" w14:textId="77777777">
      <w:commentRangeStart w:id="38"/>
      <w:r>
        <w:rPr>
          <w:b/>
          <w:bCs/>
        </w:rPr>
        <w:lastRenderedPageBreak/>
        <w:t>Compuerta basada en media y desviación (adaptive_gating_meanstd).</w:t>
      </w:r>
      <w:r>
        <w:t xml:space="preserve"> Se incorporó después de observar que la normalización hacía que las medias globales variasen muy poco entre entradas. La extensión concatena media y desviación típica de cada modalidad, por lo que el descriptor pasa de cuatro a ocho valores y el MLP 8 → 8 → 4 añade 108 parámetros. La compuerta continúa produciendo pesos globales por modalidad, no mapas espaciales.</w:t>
      </w:r>
      <w:commentRangeEnd w:id="38"/>
      <w:r>
        <w:rPr>
          <w:rStyle w:val="CommentReference"/>
        </w:rPr>
        <w:commentReference w:id="38"/>
      </w:r>
    </w:p>
    <w:p w:rsidR="00914FAA" w:rsidRDefault="000E7DA8" w14:paraId="0AEE4C7E" w14:textId="77777777">
      <w:commentRangeStart w:id="39"/>
      <w:r w:rsidR="6A5F4401">
        <w:rPr/>
        <w:t xml:space="preserve">Durante el desarrollo también se añadieron opciones de temperatura del </w:t>
      </w:r>
      <w:r w:rsidRPr="06910F8B" w:rsidR="6A5F4401">
        <w:rPr>
          <w:i w:val="1"/>
          <w:iCs w:val="1"/>
        </w:rPr>
        <w:t>softmax</w:t>
      </w:r>
      <w:r w:rsidR="6A5F4401">
        <w:rPr/>
        <w:t>, tasa de aprendizaje específica para la fusión, activación gradual de la compuerta y regularización de entropía. Estas adaptaciones se exploraron en corridas preliminares de 5.000 pasos para estudiar la estabilidad. La ablación final mantuvo el protocolo común de optimización y usó temperatura 1, sin tasa específica, activación gradual ni penalización de entropía, de modo que la variable comparada fuera el descriptor y el mecanismo de fusión.</w:t>
      </w:r>
      <w:commentRangeEnd w:id="39"/>
      <w:r>
        <w:rPr>
          <w:rStyle w:val="CommentReference"/>
        </w:rPr>
        <w:commentReference w:id="39"/>
      </w:r>
    </w:p>
    <w:p w:rsidR="06910F8B" w:rsidRDefault="06910F8B" w14:paraId="72A4A0C0" w14:textId="476DBA3B"/>
    <w:p w:rsidR="00914FAA" w:rsidRDefault="000E7DA8" w14:paraId="72F92F86" w14:textId="77777777">
      <w:pPr>
        <w:pStyle w:val="Ttulo2"/>
      </w:pPr>
      <w:bookmarkStart w:name="_Toc1154936794" w:id="97"/>
      <w:bookmarkStart w:name="experimentación-fase-4" w:id="98"/>
      <w:bookmarkEnd w:id="90"/>
      <w:bookmarkEnd w:id="92"/>
      <w:r w:rsidR="6A5F4401">
        <w:rPr/>
        <w:t>4.4. Experimentación (Fase 4)</w:t>
      </w:r>
      <w:bookmarkEnd w:id="97"/>
    </w:p>
    <w:p w:rsidR="57D0E66C" w:rsidP="06910F8B" w:rsidRDefault="57D0E66C" w14:paraId="6D2E3547" w14:textId="392D81AC">
      <w:pPr>
        <w:pStyle w:val="Normal"/>
      </w:pPr>
      <w:commentRangeStart w:id="40"/>
      <w:r w:rsidR="57D0E66C">
        <w:rPr/>
        <w:t xml:space="preserve">Esta fase traslada el pipeline implementado a un conjunto de ejecuciones diseñado para responder a la pregunta de investigación. La sección describe primero la configuración común de los modelos MONAI y el procedimiento de entrenamiento y selección de puntos de control. Después establece los criterios de comparación y reproducibilidad y concreta la ablación de fusión. Por último, documenta la ruta independiente de </w:t>
      </w:r>
      <w:r w:rsidR="57D0E66C">
        <w:rPr/>
        <w:t>nnU</w:t>
      </w:r>
      <w:r w:rsidR="57D0E66C">
        <w:rPr/>
        <w:t xml:space="preserve">-Net. Esta organización permite distinguir tres niveles de evidencia: la comparación controlada de las estrategias de fusión sobre la misma Residual U-Net, la comparación descriptiva entre familias MONAI y la referencia contextual proporcionada por </w:t>
      </w:r>
      <w:r w:rsidR="57D0E66C">
        <w:rPr/>
        <w:t>nnU</w:t>
      </w:r>
      <w:r w:rsidR="57D0E66C">
        <w:rPr/>
        <w:t>-Net. En esta fase se explica cómo se obtuvieron las ejecuciones y los modelos seleccionados, mientras que la inferencia, el cálculo de métricas y los análisis derivados se reservan para la Fase 5.</w:t>
      </w:r>
      <w:commentRangeEnd w:id="40"/>
      <w:r>
        <w:rPr>
          <w:rStyle w:val="CommentReference"/>
        </w:rPr>
        <w:commentReference w:id="40"/>
      </w:r>
    </w:p>
    <w:p w:rsidR="06910F8B" w:rsidP="06910F8B" w:rsidRDefault="06910F8B" w14:paraId="5C2C560C" w14:textId="570EA91D">
      <w:pPr>
        <w:pStyle w:val="Normal"/>
      </w:pPr>
    </w:p>
    <w:p w:rsidR="00914FAA" w:rsidRDefault="000E7DA8" w14:paraId="5CA118E5" w14:textId="77777777">
      <w:pPr>
        <w:pStyle w:val="Ttulo3"/>
      </w:pPr>
      <w:bookmarkStart w:name="_Toc1289560173" w:id="99"/>
      <w:bookmarkStart w:name="configuración-de-entrenamiento-monai" w:id="100"/>
      <w:r>
        <w:t>4.4.1. Configuración de entrenamiento MONAI</w:t>
      </w:r>
      <w:bookmarkEnd w:id="99"/>
    </w:p>
    <w:p w:rsidR="00914FAA" w:rsidRDefault="000E7DA8" w14:paraId="2B44F4B7" w14:textId="6D72BCEC">
      <w:commentRangeStart w:id="41"/>
      <w:r w:rsidR="6A5F4401">
        <w:rPr/>
        <w:t xml:space="preserve">Las configuraciones MONAI finales compartieron los </w:t>
      </w:r>
      <w:r w:rsidR="6A5F4401">
        <w:rPr/>
        <w:t>hiperparámetros</w:t>
      </w:r>
      <w:r w:rsidR="6A5F4401">
        <w:rPr/>
        <w:t xml:space="preserve"> de optimización de la Tabla 11. El presupuesto se fijó mediante una sonda larga de la concatenación, cuya validación alcanzó una meseta aproximada entre 12.000 y 15.000 pasos. Se eligieron 15.000 pasos para las corridas finales</w:t>
      </w:r>
      <w:r w:rsidR="722DDEF2">
        <w:rPr/>
        <w:t>. E</w:t>
      </w:r>
      <w:r w:rsidR="6A5F4401">
        <w:rPr/>
        <w:t xml:space="preserve">n el perfil local, cuyo YAML conserva un techo de 25.000, este valor se impuso explícitamente con </w:t>
      </w:r>
      <w:r w:rsidRPr="06910F8B" w:rsidR="6A5F4401">
        <w:rPr>
          <w:rFonts w:ascii="Consolas" w:hAnsi="Consolas" w:eastAsia="Consolas" w:cs="Consolas"/>
        </w:rPr>
        <w:t>--</w:t>
      </w:r>
      <w:r w:rsidRPr="06910F8B" w:rsidR="6A5F4401">
        <w:rPr>
          <w:rFonts w:ascii="Consolas" w:hAnsi="Consolas" w:eastAsia="Consolas" w:cs="Consolas"/>
        </w:rPr>
        <w:t>max-steps</w:t>
      </w:r>
      <w:r w:rsidRPr="06910F8B" w:rsidR="6A5F4401">
        <w:rPr>
          <w:rFonts w:ascii="Consolas" w:hAnsi="Consolas" w:eastAsia="Consolas" w:cs="Consolas"/>
        </w:rPr>
        <w:t xml:space="preserve"> 15000</w:t>
      </w:r>
      <w:r w:rsidR="6A5F4401">
        <w:rPr/>
        <w:t>.</w:t>
      </w:r>
      <w:commentRangeEnd w:id="41"/>
      <w:r>
        <w:rPr>
          <w:rStyle w:val="CommentReference"/>
        </w:rPr>
        <w:commentReference w:id="41"/>
      </w:r>
    </w:p>
    <w:p w:rsidR="06910F8B" w:rsidRDefault="06910F8B" w14:paraId="5E821F01" w14:textId="46B5BAAB"/>
    <w:p w:rsidR="06910F8B" w:rsidRDefault="06910F8B" w14:paraId="4B48200E" w14:textId="080E3596"/>
    <w:p w:rsidR="06910F8B" w:rsidRDefault="06910F8B" w14:paraId="5387F1A3" w14:textId="748C0ED3"/>
    <w:p w:rsidR="06910F8B" w:rsidRDefault="06910F8B" w14:paraId="70C4FA8E" w14:textId="1111B697"/>
    <w:p w:rsidR="06910F8B" w:rsidRDefault="06910F8B" w14:paraId="76C85E6D" w14:textId="78649C0C"/>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4252"/>
        <w:gridCol w:w="4252"/>
      </w:tblGrid>
      <w:tr w:rsidR="00914FAA" w:rsidTr="06910F8B" w14:paraId="09D5DA9D" w14:textId="77777777">
        <w:trPr>
          <w:cantSplit/>
          <w:tblHeader/>
          <w:jc w:val="center"/>
        </w:trPr>
        <w:tc>
          <w:tcPr>
            <w:tcW w:w="4252" w:type="dxa"/>
            <w:shd w:val="clear" w:color="auto" w:fill="ED7D31"/>
            <w:tcMar>
              <w:top w:w="70" w:type="dxa"/>
              <w:left w:w="70" w:type="dxa"/>
              <w:bottom w:w="70" w:type="dxa"/>
              <w:right w:w="70" w:type="dxa"/>
            </w:tcMar>
            <w:vAlign w:val="center"/>
          </w:tcPr>
          <w:p w:rsidR="00914FAA" w:rsidP="06910F8B" w:rsidRDefault="000E7DA8" w14:paraId="0F6CDD0F"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Hiperparámetro</w:t>
            </w:r>
          </w:p>
        </w:tc>
        <w:tc>
          <w:tcPr>
            <w:tcW w:w="4252" w:type="dxa"/>
            <w:shd w:val="clear" w:color="auto" w:fill="ED7D31"/>
            <w:tcMar>
              <w:top w:w="70" w:type="dxa"/>
              <w:left w:w="70" w:type="dxa"/>
              <w:bottom w:w="70" w:type="dxa"/>
              <w:right w:w="70" w:type="dxa"/>
            </w:tcMar>
            <w:vAlign w:val="center"/>
          </w:tcPr>
          <w:p w:rsidR="00914FAA" w:rsidP="06910F8B" w:rsidRDefault="000E7DA8" w14:paraId="5E69545A"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Valor</w:t>
            </w:r>
          </w:p>
        </w:tc>
      </w:tr>
      <w:tr w:rsidR="00914FAA" w:rsidTr="06910F8B" w14:paraId="284CD8A1" w14:textId="77777777">
        <w:trPr>
          <w:cantSplit/>
          <w:jc w:val="center"/>
        </w:trPr>
        <w:tc>
          <w:tcPr>
            <w:tcW w:w="4252" w:type="dxa"/>
            <w:shd w:val="clear" w:color="auto" w:fill="FFFFFF" w:themeFill="background1"/>
            <w:tcMar>
              <w:top w:w="70" w:type="dxa"/>
              <w:left w:w="70" w:type="dxa"/>
              <w:bottom w:w="70" w:type="dxa"/>
              <w:right w:w="70" w:type="dxa"/>
            </w:tcMar>
            <w:vAlign w:val="center"/>
          </w:tcPr>
          <w:p w:rsidR="00914FAA" w:rsidP="06910F8B" w:rsidRDefault="000E7DA8" w14:paraId="6C306B4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Optimizador</w:t>
            </w:r>
          </w:p>
        </w:tc>
        <w:tc>
          <w:tcPr>
            <w:tcW w:w="4252" w:type="dxa"/>
            <w:shd w:val="clear" w:color="auto" w:fill="FFFFFF" w:themeFill="background1"/>
            <w:tcMar>
              <w:top w:w="70" w:type="dxa"/>
              <w:left w:w="70" w:type="dxa"/>
              <w:bottom w:w="70" w:type="dxa"/>
              <w:right w:w="70" w:type="dxa"/>
            </w:tcMar>
            <w:vAlign w:val="center"/>
          </w:tcPr>
          <w:p w:rsidR="00914FAA" w:rsidP="06910F8B" w:rsidRDefault="000E7DA8" w14:paraId="1891B15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AdamW</w:t>
            </w:r>
          </w:p>
        </w:tc>
      </w:tr>
      <w:tr w:rsidR="00914FAA" w:rsidTr="06910F8B" w14:paraId="1A1F1030" w14:textId="77777777">
        <w:trPr>
          <w:cantSplit/>
          <w:jc w:val="center"/>
        </w:trPr>
        <w:tc>
          <w:tcPr>
            <w:tcW w:w="4252" w:type="dxa"/>
            <w:shd w:val="clear" w:color="auto" w:fill="FCE4D6"/>
            <w:tcMar>
              <w:top w:w="70" w:type="dxa"/>
              <w:left w:w="70" w:type="dxa"/>
              <w:bottom w:w="70" w:type="dxa"/>
              <w:right w:w="70" w:type="dxa"/>
            </w:tcMar>
            <w:vAlign w:val="center"/>
          </w:tcPr>
          <w:p w:rsidR="00914FAA" w:rsidP="06910F8B" w:rsidRDefault="000E7DA8" w14:paraId="271F6EA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Tasa de aprendizaje</w:t>
            </w:r>
          </w:p>
        </w:tc>
        <w:tc>
          <w:tcPr>
            <w:tcW w:w="4252" w:type="dxa"/>
            <w:shd w:val="clear" w:color="auto" w:fill="FCE4D6"/>
            <w:tcMar>
              <w:top w:w="70" w:type="dxa"/>
              <w:left w:w="70" w:type="dxa"/>
              <w:bottom w:w="70" w:type="dxa"/>
              <w:right w:w="70" w:type="dxa"/>
            </w:tcMar>
            <w:vAlign w:val="center"/>
          </w:tcPr>
          <w:p w:rsidR="00914FAA" w:rsidP="06910F8B" w:rsidRDefault="000E7DA8" w14:paraId="7BE4F88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 × 10⁻⁴</w:t>
            </w:r>
          </w:p>
        </w:tc>
      </w:tr>
      <w:tr w:rsidR="00914FAA" w:rsidTr="06910F8B" w14:paraId="5AF3AE5A" w14:textId="77777777">
        <w:trPr>
          <w:cantSplit/>
          <w:jc w:val="center"/>
        </w:trPr>
        <w:tc>
          <w:tcPr>
            <w:tcW w:w="4252" w:type="dxa"/>
            <w:shd w:val="clear" w:color="auto" w:fill="FFFFFF" w:themeFill="background1"/>
            <w:tcMar>
              <w:top w:w="70" w:type="dxa"/>
              <w:left w:w="70" w:type="dxa"/>
              <w:bottom w:w="70" w:type="dxa"/>
              <w:right w:w="70" w:type="dxa"/>
            </w:tcMar>
            <w:vAlign w:val="center"/>
          </w:tcPr>
          <w:p w:rsidR="00914FAA" w:rsidP="06910F8B" w:rsidRDefault="000E7DA8" w14:paraId="34BCBD4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Planificación</w:t>
            </w:r>
          </w:p>
        </w:tc>
        <w:tc>
          <w:tcPr>
            <w:tcW w:w="4252" w:type="dxa"/>
            <w:shd w:val="clear" w:color="auto" w:fill="FFFFFF" w:themeFill="background1"/>
            <w:tcMar>
              <w:top w:w="70" w:type="dxa"/>
              <w:left w:w="70" w:type="dxa"/>
              <w:bottom w:w="70" w:type="dxa"/>
              <w:right w:w="70" w:type="dxa"/>
            </w:tcMar>
            <w:vAlign w:val="center"/>
          </w:tcPr>
          <w:p w:rsidR="00914FAA" w:rsidP="06910F8B" w:rsidRDefault="000E7DA8" w14:paraId="47B73832" w14:textId="77777777">
            <w:pPr>
              <w:spacing w:after="0" w:line="240" w:lineRule="auto"/>
              <w:jc w:val="left"/>
              <w:rPr>
                <w:rFonts w:eastAsia="Arial"/>
                <w:color w:val="000000" w:themeColor="text1" w:themeTint="FF" w:themeShade="FF"/>
                <w:sz w:val="20"/>
                <w:szCs w:val="20"/>
              </w:rPr>
            </w:pPr>
            <w:r w:rsidRPr="06910F8B" w:rsidR="6A5F4401">
              <w:rPr>
                <w:rFonts w:eastAsia="Arial"/>
                <w:i w:val="1"/>
                <w:iCs w:val="1"/>
                <w:color w:val="000000" w:themeColor="text1" w:themeTint="FF" w:themeShade="FF"/>
                <w:sz w:val="20"/>
                <w:szCs w:val="20"/>
              </w:rPr>
              <w:t>Warmup</w:t>
            </w:r>
            <w:r w:rsidRPr="06910F8B" w:rsidR="6A5F4401">
              <w:rPr>
                <w:rFonts w:eastAsia="Arial"/>
                <w:color w:val="000000" w:themeColor="text1" w:themeTint="FF" w:themeShade="FF"/>
                <w:sz w:val="20"/>
                <w:szCs w:val="20"/>
              </w:rPr>
              <w:t xml:space="preserve"> lineal de 1.000 pasos hasta la tasa base y decaimiento </w:t>
            </w:r>
            <w:r w:rsidRPr="06910F8B" w:rsidR="6A5F4401">
              <w:rPr>
                <w:rFonts w:eastAsia="Arial"/>
                <w:i w:val="1"/>
                <w:iCs w:val="1"/>
                <w:color w:val="000000" w:themeColor="text1" w:themeTint="FF" w:themeShade="FF"/>
                <w:sz w:val="20"/>
                <w:szCs w:val="20"/>
              </w:rPr>
              <w:t>cosine</w:t>
            </w:r>
            <w:r w:rsidRPr="06910F8B" w:rsidR="6A5F4401">
              <w:rPr>
                <w:rFonts w:eastAsia="Arial"/>
                <w:color w:val="000000" w:themeColor="text1" w:themeTint="FF" w:themeShade="FF"/>
                <w:sz w:val="20"/>
                <w:szCs w:val="20"/>
              </w:rPr>
              <w:t xml:space="preserve"> hasta el 1 % de ella</w:t>
            </w:r>
          </w:p>
        </w:tc>
      </w:tr>
      <w:tr w:rsidR="00914FAA" w:rsidTr="06910F8B" w14:paraId="52B48F28" w14:textId="77777777">
        <w:trPr>
          <w:cantSplit/>
          <w:jc w:val="center"/>
        </w:trPr>
        <w:tc>
          <w:tcPr>
            <w:tcW w:w="4252" w:type="dxa"/>
            <w:shd w:val="clear" w:color="auto" w:fill="FCE4D6"/>
            <w:tcMar>
              <w:top w:w="70" w:type="dxa"/>
              <w:left w:w="70" w:type="dxa"/>
              <w:bottom w:w="70" w:type="dxa"/>
              <w:right w:w="70" w:type="dxa"/>
            </w:tcMar>
            <w:vAlign w:val="center"/>
          </w:tcPr>
          <w:p w:rsidR="00914FAA" w:rsidP="06910F8B" w:rsidRDefault="000E7DA8" w14:paraId="5174AAE1" w14:textId="77777777">
            <w:pPr>
              <w:spacing w:after="0" w:line="240" w:lineRule="auto"/>
              <w:jc w:val="left"/>
              <w:rPr>
                <w:rFonts w:eastAsia="Arial"/>
                <w:i w:val="1"/>
                <w:iCs w:val="1"/>
                <w:color w:val="000000" w:themeColor="text1" w:themeTint="FF" w:themeShade="FF"/>
                <w:sz w:val="20"/>
                <w:szCs w:val="20"/>
              </w:rPr>
            </w:pPr>
            <w:r w:rsidRPr="06910F8B" w:rsidR="6A5F4401">
              <w:rPr>
                <w:rFonts w:eastAsia="Arial"/>
                <w:i w:val="1"/>
                <w:iCs w:val="1"/>
                <w:color w:val="000000" w:themeColor="text1" w:themeTint="FF" w:themeShade="FF"/>
                <w:sz w:val="20"/>
                <w:szCs w:val="20"/>
              </w:rPr>
              <w:t>Weight decay</w:t>
            </w:r>
          </w:p>
        </w:tc>
        <w:tc>
          <w:tcPr>
            <w:tcW w:w="4252" w:type="dxa"/>
            <w:shd w:val="clear" w:color="auto" w:fill="FCE4D6"/>
            <w:tcMar>
              <w:top w:w="70" w:type="dxa"/>
              <w:left w:w="70" w:type="dxa"/>
              <w:bottom w:w="70" w:type="dxa"/>
              <w:right w:w="70" w:type="dxa"/>
            </w:tcMar>
            <w:vAlign w:val="center"/>
          </w:tcPr>
          <w:p w:rsidR="00914FAA" w:rsidP="06910F8B" w:rsidRDefault="000E7DA8" w14:paraId="03CC611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 × 10⁻⁵</w:t>
            </w:r>
          </w:p>
        </w:tc>
      </w:tr>
      <w:tr w:rsidR="00914FAA" w:rsidTr="06910F8B" w14:paraId="355C84F2" w14:textId="77777777">
        <w:trPr>
          <w:cantSplit/>
          <w:jc w:val="center"/>
        </w:trPr>
        <w:tc>
          <w:tcPr>
            <w:tcW w:w="4252" w:type="dxa"/>
            <w:shd w:val="clear" w:color="auto" w:fill="FFFFFF" w:themeFill="background1"/>
            <w:tcMar>
              <w:top w:w="70" w:type="dxa"/>
              <w:left w:w="70" w:type="dxa"/>
              <w:bottom w:w="70" w:type="dxa"/>
              <w:right w:w="70" w:type="dxa"/>
            </w:tcMar>
            <w:vAlign w:val="center"/>
          </w:tcPr>
          <w:p w:rsidR="00914FAA" w:rsidP="06910F8B" w:rsidRDefault="000E7DA8" w14:paraId="73E4E46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Función de pérdida</w:t>
            </w:r>
          </w:p>
        </w:tc>
        <w:tc>
          <w:tcPr>
            <w:tcW w:w="4252" w:type="dxa"/>
            <w:shd w:val="clear" w:color="auto" w:fill="FFFFFF" w:themeFill="background1"/>
            <w:tcMar>
              <w:top w:w="70" w:type="dxa"/>
              <w:left w:w="70" w:type="dxa"/>
              <w:bottom w:w="70" w:type="dxa"/>
              <w:right w:w="70" w:type="dxa"/>
            </w:tcMar>
            <w:vAlign w:val="center"/>
          </w:tcPr>
          <w:p w:rsidR="00914FAA" w:rsidP="06910F8B" w:rsidRDefault="000E7DA8" w14:paraId="2F1AE1FD"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DiceCELoss(sigmoid=True, squared_pred=True)</w:t>
            </w:r>
          </w:p>
        </w:tc>
      </w:tr>
      <w:tr w:rsidR="00914FAA" w:rsidTr="06910F8B" w14:paraId="7C834AB4" w14:textId="77777777">
        <w:trPr>
          <w:cantSplit/>
          <w:jc w:val="center"/>
        </w:trPr>
        <w:tc>
          <w:tcPr>
            <w:tcW w:w="4252" w:type="dxa"/>
            <w:shd w:val="clear" w:color="auto" w:fill="FCE4D6"/>
            <w:tcMar>
              <w:top w:w="70" w:type="dxa"/>
              <w:left w:w="70" w:type="dxa"/>
              <w:bottom w:w="70" w:type="dxa"/>
              <w:right w:w="70" w:type="dxa"/>
            </w:tcMar>
            <w:vAlign w:val="center"/>
          </w:tcPr>
          <w:p w:rsidR="00914FAA" w:rsidP="06910F8B" w:rsidRDefault="000E7DA8" w14:paraId="3965102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Tamaño de parche</w:t>
            </w:r>
          </w:p>
        </w:tc>
        <w:tc>
          <w:tcPr>
            <w:tcW w:w="4252" w:type="dxa"/>
            <w:shd w:val="clear" w:color="auto" w:fill="FCE4D6"/>
            <w:tcMar>
              <w:top w:w="70" w:type="dxa"/>
              <w:left w:w="70" w:type="dxa"/>
              <w:bottom w:w="70" w:type="dxa"/>
              <w:right w:w="70" w:type="dxa"/>
            </w:tcMar>
            <w:vAlign w:val="center"/>
          </w:tcPr>
          <w:p w:rsidR="00914FAA" w:rsidP="06910F8B" w:rsidRDefault="000E7DA8" w14:paraId="752A8D7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128 × 128 × 128</w:t>
            </w:r>
          </w:p>
        </w:tc>
      </w:tr>
      <w:tr w:rsidR="00914FAA" w:rsidTr="06910F8B" w14:paraId="5AC48384" w14:textId="77777777">
        <w:trPr>
          <w:cantSplit/>
          <w:jc w:val="center"/>
        </w:trPr>
        <w:tc>
          <w:tcPr>
            <w:tcW w:w="4252" w:type="dxa"/>
            <w:shd w:val="clear" w:color="auto" w:fill="FFFFFF" w:themeFill="background1"/>
            <w:tcMar>
              <w:top w:w="70" w:type="dxa"/>
              <w:left w:w="70" w:type="dxa"/>
              <w:bottom w:w="70" w:type="dxa"/>
              <w:right w:w="70" w:type="dxa"/>
            </w:tcMar>
            <w:vAlign w:val="center"/>
          </w:tcPr>
          <w:p w:rsidR="00914FAA" w:rsidP="06910F8B" w:rsidRDefault="000E7DA8" w14:paraId="53D5C81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Tamaño de lote</w:t>
            </w:r>
          </w:p>
        </w:tc>
        <w:tc>
          <w:tcPr>
            <w:tcW w:w="4252" w:type="dxa"/>
            <w:shd w:val="clear" w:color="auto" w:fill="FFFFFF" w:themeFill="background1"/>
            <w:tcMar>
              <w:top w:w="70" w:type="dxa"/>
              <w:left w:w="70" w:type="dxa"/>
              <w:bottom w:w="70" w:type="dxa"/>
              <w:right w:w="70" w:type="dxa"/>
            </w:tcMar>
            <w:vAlign w:val="center"/>
          </w:tcPr>
          <w:p w:rsidR="00914FAA" w:rsidP="06910F8B" w:rsidRDefault="000E7DA8" w14:paraId="4B6AC99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 estudio, con 2 parches generados por estudio</w:t>
            </w:r>
          </w:p>
        </w:tc>
      </w:tr>
      <w:tr w:rsidR="00914FAA" w:rsidTr="06910F8B" w14:paraId="5FB0C46B" w14:textId="77777777">
        <w:trPr>
          <w:cantSplit/>
          <w:jc w:val="center"/>
        </w:trPr>
        <w:tc>
          <w:tcPr>
            <w:tcW w:w="4252" w:type="dxa"/>
            <w:shd w:val="clear" w:color="auto" w:fill="FCE4D6"/>
            <w:tcMar>
              <w:top w:w="70" w:type="dxa"/>
              <w:left w:w="70" w:type="dxa"/>
              <w:bottom w:w="70" w:type="dxa"/>
              <w:right w:w="70" w:type="dxa"/>
            </w:tcMar>
            <w:vAlign w:val="center"/>
          </w:tcPr>
          <w:p w:rsidR="00914FAA" w:rsidP="06910F8B" w:rsidRDefault="000E7DA8" w14:paraId="3FF63AB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Presupuesto</w:t>
            </w:r>
          </w:p>
        </w:tc>
        <w:tc>
          <w:tcPr>
            <w:tcW w:w="4252" w:type="dxa"/>
            <w:shd w:val="clear" w:color="auto" w:fill="FCE4D6"/>
            <w:tcMar>
              <w:top w:w="70" w:type="dxa"/>
              <w:left w:w="70" w:type="dxa"/>
              <w:bottom w:w="70" w:type="dxa"/>
              <w:right w:w="70" w:type="dxa"/>
            </w:tcMar>
            <w:vAlign w:val="center"/>
          </w:tcPr>
          <w:p w:rsidR="00914FAA" w:rsidP="06910F8B" w:rsidRDefault="000E7DA8" w14:paraId="6438520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15.000 pasos, aproximadamente 13 épocas</w:t>
            </w:r>
          </w:p>
        </w:tc>
      </w:tr>
      <w:tr w:rsidR="00914FAA" w:rsidTr="06910F8B" w14:paraId="65606881" w14:textId="77777777">
        <w:trPr>
          <w:cantSplit/>
          <w:jc w:val="center"/>
        </w:trPr>
        <w:tc>
          <w:tcPr>
            <w:tcW w:w="4252" w:type="dxa"/>
            <w:shd w:val="clear" w:color="auto" w:fill="FFFFFF" w:themeFill="background1"/>
            <w:tcMar>
              <w:top w:w="70" w:type="dxa"/>
              <w:left w:w="70" w:type="dxa"/>
              <w:bottom w:w="70" w:type="dxa"/>
              <w:right w:w="70" w:type="dxa"/>
            </w:tcMar>
            <w:vAlign w:val="center"/>
          </w:tcPr>
          <w:p w:rsidR="00914FAA" w:rsidP="06910F8B" w:rsidRDefault="000E7DA8" w14:paraId="1B6C14D7"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Semillas</w:t>
            </w:r>
          </w:p>
        </w:tc>
        <w:tc>
          <w:tcPr>
            <w:tcW w:w="4252" w:type="dxa"/>
            <w:shd w:val="clear" w:color="auto" w:fill="FFFFFF" w:themeFill="background1"/>
            <w:tcMar>
              <w:top w:w="70" w:type="dxa"/>
              <w:left w:w="70" w:type="dxa"/>
              <w:bottom w:w="70" w:type="dxa"/>
              <w:right w:w="70" w:type="dxa"/>
            </w:tcMar>
            <w:vAlign w:val="center"/>
          </w:tcPr>
          <w:p w:rsidR="00914FAA" w:rsidP="06910F8B" w:rsidRDefault="000E7DA8" w14:paraId="1C683906"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20260526, 20260527 y 20260528</w:t>
            </w:r>
          </w:p>
        </w:tc>
      </w:tr>
    </w:tbl>
    <w:p w:rsidR="00914FAA" w:rsidRDefault="000E7DA8" w14:paraId="3E960816" w14:textId="77777777">
      <w:pPr>
        <w:pStyle w:val="Descripcin"/>
        <w:keepLines/>
      </w:pPr>
      <w:bookmarkStart w:name="_Toc235507369" w:id="101"/>
      <w:r>
        <w:rPr>
          <w:b/>
        </w:rPr>
        <w:t xml:space="preserve">Tabla </w:t>
      </w:r>
      <w:r>
        <w:fldChar w:fldCharType="begin"/>
      </w:r>
      <w:r>
        <w:instrText xml:space="preserve"> SEQ Tabla \* ARABIC </w:instrText>
      </w:r>
      <w:r>
        <w:fldChar w:fldCharType="separate"/>
      </w:r>
      <w:r>
        <w:rPr>
          <w:b/>
        </w:rPr>
        <w:t>11</w:t>
      </w:r>
      <w:r>
        <w:fldChar w:fldCharType="end"/>
      </w:r>
      <w:r>
        <w:rPr>
          <w:b/>
        </w:rPr>
        <w:t xml:space="preserve">. </w:t>
      </w:r>
      <w:r>
        <w:t>Hiperparámetros efectivos del protocolo MONAI final.</w:t>
      </w:r>
      <w:bookmarkEnd w:id="101"/>
    </w:p>
    <w:p w:rsidR="00914FAA" w:rsidRDefault="000E7DA8" w14:paraId="1CC10B10" w14:textId="77777777">
      <w:r>
        <w:t>La tabla define un protocolo común para las seis configuraciones MONAI —cuatro configuraciones residuales, Attention U-Net y Swin-UNETR, cada una con tres semillas—, pero no para nnU-Net. La igualdad de hiperparámetros permite una ablación controlada dentro de la familia residual. La comparación entre familias sigue siendo descriptiva porque cambian el dispositivo, AMP y el solapamiento de inferencia.</w:t>
      </w:r>
    </w:p>
    <w:p w:rsidR="00914FAA" w:rsidRDefault="000E7DA8" w14:paraId="34D21AD6" w14:textId="1D1A1D31">
      <w:r w:rsidR="6A5F4401">
        <w:rPr/>
        <w:t>DiceCELoss</w:t>
      </w:r>
      <w:r w:rsidR="6A5F4401">
        <w:rPr/>
        <w:t xml:space="preserve"> combina el término Dice y la entropía cruzada binaria sobre los tres canales. El planificador se adoptó para distribuir la tasa de aprendizaje dentro del presupuesto fijado</w:t>
      </w:r>
      <w:r w:rsidR="758A2EC4">
        <w:rPr/>
        <w:t>. N</w:t>
      </w:r>
      <w:r w:rsidR="6A5F4401">
        <w:rPr/>
        <w:t>o se utiliza su incorporación como evidencia causal de superioridad frente a la tasa constante de las exploraciones preliminares.</w:t>
      </w:r>
    </w:p>
    <w:p w:rsidR="06910F8B" w:rsidRDefault="06910F8B" w14:paraId="17527719" w14:textId="6BD9460D"/>
    <w:p w:rsidR="00914FAA" w:rsidRDefault="000E7DA8" w14:paraId="7B5C5C27" w14:textId="77777777">
      <w:pPr>
        <w:pStyle w:val="Ttulo3"/>
      </w:pPr>
      <w:bookmarkStart w:name="_Toc600096656" w:id="102"/>
      <w:bookmarkStart w:name="X2a0fa5c585bb6ada978b5f929d9f6828030d60a" w:id="103"/>
      <w:bookmarkEnd w:id="95"/>
      <w:r>
        <w:t>4.4.2. Bucle de entrenamiento y selección de puntos de control</w:t>
      </w:r>
      <w:bookmarkEnd w:id="102"/>
    </w:p>
    <w:p w:rsidR="00914FAA" w:rsidRDefault="000E7DA8" w14:paraId="21485143" w14:textId="67663B2A">
      <w:r w:rsidRPr="06910F8B" w:rsidR="6A5F4401">
        <w:rPr>
          <w:rFonts w:ascii="Consolas" w:hAnsi="Consolas" w:eastAsia="Consolas" w:cs="Consolas"/>
        </w:rPr>
        <w:t>train_one_run</w:t>
      </w:r>
      <w:r w:rsidR="6A5F4401">
        <w:rPr/>
        <w:t xml:space="preserve"> gestiona la carga de lotes, el cálculo de la pérdida, la </w:t>
      </w:r>
      <w:r w:rsidR="6A5F4401">
        <w:rPr/>
        <w:t>retropropagación</w:t>
      </w:r>
      <w:r w:rsidR="6A5F4401">
        <w:rPr/>
        <w:t xml:space="preserve">, el paso de </w:t>
      </w:r>
      <w:r w:rsidR="6A5F4401">
        <w:rPr/>
        <w:t>AdamW</w:t>
      </w:r>
      <w:r w:rsidR="6A5F4401">
        <w:rPr/>
        <w:t xml:space="preserve">, el planificador y la validación periódica. En CUDA usa </w:t>
      </w:r>
      <w:r w:rsidR="6A5F4401">
        <w:rPr/>
        <w:t>autocast</w:t>
      </w:r>
      <w:r w:rsidR="6A5F4401">
        <w:rPr/>
        <w:t xml:space="preserve"> y escalado de gradiente</w:t>
      </w:r>
      <w:r w:rsidR="0D2A3CC8">
        <w:rPr/>
        <w:t>. E</w:t>
      </w:r>
      <w:r w:rsidR="6A5F4401">
        <w:rPr/>
        <w:t>n MPS ambas funciones permanecen desactivadas. El entrenamiento se limita por número de pasos, aunque el registro conserva también la época alcanzada.</w:t>
      </w:r>
    </w:p>
    <w:p w:rsidR="00914FAA" w:rsidP="06910F8B" w:rsidRDefault="000E7DA8" w14:paraId="6E622C03" w14:textId="59B15EC6">
      <w:pPr>
        <w:pStyle w:val="Normal"/>
        <w:suppressLineNumbers w:val="0"/>
        <w:bidi w:val="0"/>
        <w:spacing w:before="0" w:beforeAutospacing="off" w:after="200" w:afterAutospacing="off" w:line="276" w:lineRule="auto"/>
        <w:ind w:left="0" w:right="0"/>
        <w:jc w:val="both"/>
        <w:rPr>
          <w:rFonts w:ascii="Consolas" w:hAnsi="Consolas" w:eastAsia="Consolas" w:cs="Consolas"/>
        </w:rPr>
      </w:pPr>
      <w:commentRangeStart w:id="42"/>
      <w:r w:rsidR="6A5F4401">
        <w:rPr/>
        <w:t xml:space="preserve">Al final de cada época —y al alcanzar el límite de pasos— se calcula </w:t>
      </w:r>
      <w:r w:rsidR="6A5F4401">
        <w:rPr/>
        <w:t>mean_dice</w:t>
      </w:r>
      <w:r w:rsidR="6A5F4401">
        <w:rPr/>
        <w:t xml:space="preserve">, la media de Dice de ET, TC y WT. Para reducir el coste, esta validación usa un </w:t>
      </w:r>
      <w:r w:rsidRPr="06910F8B" w:rsidR="6A5F4401">
        <w:rPr>
          <w:b w:val="1"/>
          <w:bCs w:val="1"/>
        </w:rPr>
        <w:t>subconjunto fijo de ocho lotes</w:t>
      </w:r>
      <w:r w:rsidR="6A5F4401">
        <w:rPr/>
        <w:t xml:space="preserve"> del inicio de </w:t>
      </w:r>
      <w:r w:rsidRPr="06910F8B" w:rsidR="6A5F4401">
        <w:rPr>
          <w:rFonts w:ascii="Consolas" w:hAnsi="Consolas" w:eastAsia="Consolas" w:cs="Consolas"/>
        </w:rPr>
        <w:t>val.csv</w:t>
      </w:r>
      <w:r w:rsidRPr="06910F8B" w:rsidR="62BED238">
        <w:rPr>
          <w:rFonts w:ascii="Consolas" w:hAnsi="Consolas" w:eastAsia="Consolas" w:cs="Consolas"/>
        </w:rPr>
        <w:t>. C</w:t>
      </w:r>
      <w:r w:rsidR="6A5F4401">
        <w:rPr/>
        <w:t xml:space="preserve">omo el cargador de validación tiene tamaño de lote uno y no baraja, equivale a ocho estudios. Esta métrica selecciona </w:t>
      </w:r>
      <w:r w:rsidRPr="06910F8B" w:rsidR="6A5F4401">
        <w:rPr>
          <w:rFonts w:ascii="Consolas" w:hAnsi="Consolas" w:eastAsia="Consolas" w:cs="Consolas"/>
        </w:rPr>
        <w:t>best</w:t>
      </w:r>
      <w:r w:rsidR="6A5F4401">
        <w:rPr/>
        <w:t xml:space="preserve">.pt, mientras que </w:t>
      </w:r>
      <w:r w:rsidRPr="06910F8B" w:rsidR="6A5F4401">
        <w:rPr>
          <w:rFonts w:ascii="Consolas" w:hAnsi="Consolas" w:eastAsia="Consolas" w:cs="Consolas"/>
        </w:rPr>
        <w:t>last</w:t>
      </w:r>
      <w:r w:rsidR="6A5F4401">
        <w:rPr/>
        <w:t>.pt conserva el estado más reciente. La elección del mejor punto de control se basa, por tanto, en ese subconjunto y no en los 243 estudios completos de validación, limitación considerada en el Capítulo 6.</w:t>
      </w:r>
      <w:commentRangeEnd w:id="42"/>
      <w:r>
        <w:rPr>
          <w:rStyle w:val="CommentReference"/>
        </w:rPr>
        <w:commentReference w:id="42"/>
      </w:r>
    </w:p>
    <w:p w:rsidR="00914FAA" w:rsidP="06910F8B" w:rsidRDefault="000E7DA8" w14:paraId="473F6387" w14:textId="77777777">
      <w:pPr>
        <w:pStyle w:val="Normal"/>
        <w:suppressLineNumbers w:val="0"/>
        <w:bidi w:val="0"/>
        <w:spacing w:before="0" w:beforeAutospacing="off" w:after="200" w:afterAutospacing="off" w:line="276" w:lineRule="auto"/>
        <w:ind w:left="0" w:right="0"/>
        <w:jc w:val="both"/>
        <w:rPr>
          <w:rFonts w:ascii="Consolas" w:hAnsi="Consolas" w:eastAsia="Consolas" w:cs="Consolas"/>
        </w:rPr>
      </w:pPr>
      <w:r w:rsidR="6A5F4401">
        <w:rPr/>
        <w:t xml:space="preserve">Cada punto de control guarda el estado del modelo y del optimizador, las configuraciones, la época, el paso global y la mejor métrica observada. </w:t>
      </w:r>
      <w:r w:rsidRPr="06910F8B" w:rsidR="6A5F4401">
        <w:rPr>
          <w:rFonts w:ascii="Consolas" w:hAnsi="Consolas" w:eastAsia="Consolas" w:cs="Consolas"/>
        </w:rPr>
        <w:t>best</w:t>
      </w:r>
      <w:r w:rsidR="6A5F4401">
        <w:rPr/>
        <w:t>.pt es el artefacto utilizado posteriormente por el subcomando predict.</w:t>
      </w:r>
    </w:p>
    <w:p w:rsidR="06910F8B" w:rsidRDefault="06910F8B" w14:paraId="693FB278" w14:textId="0D5146BC"/>
    <w:p w:rsidR="00914FAA" w:rsidRDefault="000E7DA8" w14:paraId="65DA165F" w14:textId="77777777">
      <w:pPr>
        <w:pStyle w:val="Ttulo3"/>
      </w:pPr>
      <w:bookmarkStart w:name="_Toc543886787" w:id="104"/>
      <w:bookmarkStart w:name="Xaecb9a9add0ec443da9678302f483ba2a908249" w:id="105"/>
      <w:bookmarkEnd w:id="98"/>
      <w:r>
        <w:t>4.4.3. Diseño de las comparaciones y reproducibilidad</w:t>
      </w:r>
      <w:bookmarkEnd w:id="104"/>
    </w:p>
    <w:p w:rsidR="00914FAA" w:rsidRDefault="000E7DA8" w14:paraId="7A991CAA" w14:textId="77777777">
      <w:commentRangeStart w:id="43"/>
      <w:r>
        <w:t xml:space="preserve">La </w:t>
      </w:r>
      <w:r>
        <w:rPr>
          <w:b/>
          <w:bCs/>
        </w:rPr>
        <w:t>ablación de fusión</w:t>
      </w:r>
      <w:r>
        <w:t xml:space="preserve"> constituye la comparación controlada del trabajo. Sus cuatro configuraciones comparten la Residual U-Net, los estudios y particiones, las transformaciones, la pérdida, el optimizador, el presupuesto, el entorno MPS y el protocolo de inferencia. Cada una se entrenó con las tres semillas y sin </w:t>
      </w:r>
      <w:r>
        <w:rPr>
          <w:i/>
          <w:iCs/>
        </w:rPr>
        <w:t>ensembling</w:t>
      </w:r>
      <w:r>
        <w:t>. Así, las diferencias observadas dentro de esta ablación pueden asociarse al cambio deliberado del bloque de fusión, dentro de la variabilidad estocástica medida.</w:t>
      </w:r>
      <w:commentRangeEnd w:id="43"/>
      <w:r>
        <w:rPr>
          <w:rStyle w:val="CommentReference"/>
        </w:rPr>
        <w:commentReference w:id="43"/>
      </w:r>
    </w:p>
    <w:p w:rsidR="00914FAA" w:rsidRDefault="000E7DA8" w14:paraId="5EEDA403" w14:textId="4F46D49C">
      <w:r w:rsidR="6A5F4401">
        <w:rPr/>
        <w:t>Attention</w:t>
      </w:r>
      <w:r w:rsidR="6A5F4401">
        <w:rPr/>
        <w:t xml:space="preserve"> U-Net y Swin-UNETR compartieron entre sí el protocolo MONAI A100, incluidas AMP y tres semillas. En cambio, la comparación de estas arquitecturas con las residuales no es causal</w:t>
      </w:r>
      <w:r w:rsidR="0BEA75DB">
        <w:rPr/>
        <w:t xml:space="preserve">, </w:t>
      </w:r>
      <w:r w:rsidR="6A5F4401">
        <w:rPr/>
        <w:t xml:space="preserve">además de la arquitectura cambian el dispositivo y el solapamiento de inferencia. </w:t>
      </w:r>
      <w:r w:rsidR="6A5F4401">
        <w:rPr/>
        <w:t>nnU</w:t>
      </w:r>
      <w:r w:rsidR="6A5F4401">
        <w:rPr/>
        <w:t xml:space="preserve">-Net se separa aún más de este protocolo, pues utiliza su propio preprocesamiento y entrenamiento y solo una ejecución del </w:t>
      </w:r>
      <w:r w:rsidRPr="06910F8B" w:rsidR="6A5F4401">
        <w:rPr>
          <w:i w:val="1"/>
          <w:iCs w:val="1"/>
        </w:rPr>
        <w:t>fold</w:t>
      </w:r>
      <w:r w:rsidR="6A5F4401">
        <w:rPr/>
        <w:t xml:space="preserve"> 0.</w:t>
      </w:r>
    </w:p>
    <w:p w:rsidR="00914FAA" w:rsidRDefault="000E7DA8" w14:paraId="5DB9E37A" w14:textId="77777777">
      <w:r w:rsidR="6A5F4401">
        <w:rPr/>
        <w:t xml:space="preserve">La reproducibilidad práctica se apoya en </w:t>
      </w:r>
      <w:r w:rsidRPr="06910F8B" w:rsidR="6A5F4401">
        <w:rPr>
          <w:rFonts w:ascii="Consolas" w:hAnsi="Consolas" w:eastAsia="Consolas" w:cs="Consolas"/>
        </w:rPr>
        <w:t>set_reproducibility</w:t>
      </w:r>
      <w:r w:rsidR="6A5F4401">
        <w:rPr/>
        <w:t>, que propaga cada semilla a Python, NumPy, PyTorch y MONAI, y en la conservación de particiones, YAML, comandos, métricas y puntos de control disponibles. Las tres semillas permiten describir la dispersión de los modelos MONAI, pero no sustituyen un contraste inferencial con un número mayor de repeticiones.</w:t>
      </w:r>
    </w:p>
    <w:p w:rsidR="06910F8B" w:rsidRDefault="06910F8B" w14:paraId="1536BE46" w14:textId="5EDE79E0"/>
    <w:p w:rsidR="00914FAA" w:rsidRDefault="000E7DA8" w14:paraId="3F5897BC" w14:textId="77777777">
      <w:pPr>
        <w:pStyle w:val="Ttulo3"/>
      </w:pPr>
      <w:bookmarkStart w:name="_Toc316928095" w:id="106"/>
      <w:bookmarkStart w:name="X2aa9dffcadbce6c277798436e573a9e5d7ae423" w:id="107"/>
      <w:bookmarkEnd w:id="100"/>
      <w:r>
        <w:lastRenderedPageBreak/>
        <w:t>4.4.4. Estudio de ablación de estrategias de fusión</w:t>
      </w:r>
      <w:bookmarkEnd w:id="106"/>
    </w:p>
    <w:p w:rsidR="00914FAA" w:rsidRDefault="000E7DA8" w14:paraId="44C1EE06" w14:textId="77777777">
      <w:r w:rsidR="6A5F4401">
        <w:rPr/>
        <w:t>La ablación compara concatenación, ponderación global, compuerta por media y compuerta por media+desviación sobre la misma Residual U-Net. Además de Dice y HD95, se conservaron los pesos de la variante global y se diagnosticaron las compuertas finales sobre 40 estudios de validación. Este análisis cuantifica la variación de los pesos entre entradas, su entropía y la posible concentración en una modalidad, sin convertir esas observaciones en una explicación causal del rendimiento. Los resultados se presentan en el Capítulo 5.</w:t>
      </w:r>
    </w:p>
    <w:p w:rsidR="06910F8B" w:rsidRDefault="06910F8B" w14:paraId="178F12C7" w14:textId="420B7685"/>
    <w:p w:rsidR="00914FAA" w:rsidRDefault="000E7DA8" w14:paraId="5ED53724" w14:textId="77777777">
      <w:pPr>
        <w:pStyle w:val="Ttulo3"/>
      </w:pPr>
      <w:bookmarkStart w:name="_Toc522804622" w:id="108"/>
      <w:bookmarkStart w:name="nnu-net-como-referencia-externa" w:id="109"/>
      <w:bookmarkEnd w:id="103"/>
      <w:bookmarkStart w:name="_4.4.5._nnU-Net_como" w:id="1897653719"/>
      <w:r w:rsidR="6A5F4401">
        <w:rPr/>
        <w:t>4.4.5. nnU-Net como referencia externa</w:t>
      </w:r>
      <w:bookmarkEnd w:id="108"/>
      <w:bookmarkEnd w:id="1897653719"/>
    </w:p>
    <w:p w:rsidR="00914FAA" w:rsidRDefault="000E7DA8" w14:paraId="34B14D8D" w14:textId="77777777">
      <w:r w:rsidR="6A5F4401">
        <w:rPr/>
        <w:t xml:space="preserve">nnU-Net se ejecutó fuera de la </w:t>
      </w:r>
      <w:r w:rsidRPr="06910F8B" w:rsidR="6A5F4401">
        <w:rPr>
          <w:i w:val="1"/>
          <w:iCs w:val="1"/>
        </w:rPr>
        <w:t>factory</w:t>
      </w:r>
      <w:r w:rsidR="6A5F4401">
        <w:rPr/>
        <w:t xml:space="preserve"> MONAI. El script </w:t>
      </w:r>
      <w:r w:rsidRPr="06910F8B" w:rsidR="6A5F4401">
        <w:rPr>
          <w:rFonts w:ascii="Consolas" w:hAnsi="Consolas" w:eastAsia="Consolas" w:cs="Consolas"/>
        </w:rPr>
        <w:t>scripts/nnunet/prepare_brats_gli_nnunet_full.py</w:t>
      </w:r>
      <w:r w:rsidR="6A5F4401">
        <w:rPr/>
        <w:t xml:space="preserve"> convirtió las particiones al formato nativo de nnU-Net v2 mediante un NIfTI por modalidad y estudio, con nombres de canal _0000 a _0003, y conservó las etiquetas 0–4. En el entorno A100 se usó el conjunto </w:t>
      </w:r>
      <w:r w:rsidRPr="06910F8B" w:rsidR="6A5F4401">
        <w:rPr>
          <w:rFonts w:ascii="Consolas" w:hAnsi="Consolas" w:eastAsia="Consolas" w:cs="Consolas"/>
          <w:color w:val="auto"/>
          <w:sz w:val="22"/>
          <w:szCs w:val="22"/>
          <w:lang w:eastAsia="en-US" w:bidi="ar-SA"/>
        </w:rPr>
        <w:t>Dataset725_BraTSGLI2024</w:t>
      </w:r>
      <w:r w:rsidR="6A5F4401">
        <w:rPr/>
        <w:t xml:space="preserve">, se ejecutaron la planificación y el preprocesamiento propios de nnU-Net y se entrenó la configuración 3d_fullres, </w:t>
      </w:r>
      <w:r w:rsidRPr="06910F8B" w:rsidR="6A5F4401">
        <w:rPr>
          <w:i w:val="1"/>
          <w:iCs w:val="1"/>
        </w:rPr>
        <w:t>fold</w:t>
      </w:r>
      <w:r w:rsidR="6A5F4401">
        <w:rPr/>
        <w:t xml:space="preserve"> 0, con nnUNetTrainer_250epochs.</w:t>
      </w:r>
    </w:p>
    <w:p w:rsidR="00914FAA" w:rsidP="06910F8B" w:rsidRDefault="000E7DA8" w14:paraId="10F8DC2A" w14:textId="77777777">
      <w:pPr>
        <w:pStyle w:val="Normal"/>
        <w:suppressLineNumbers w:val="0"/>
        <w:bidi w:val="0"/>
        <w:spacing w:before="0" w:beforeAutospacing="off" w:after="200" w:afterAutospacing="off" w:line="276" w:lineRule="auto"/>
        <w:ind w:left="0" w:right="0"/>
        <w:jc w:val="both"/>
      </w:pPr>
      <w:r w:rsidR="6A5F4401">
        <w:rPr/>
        <w:t xml:space="preserve">El </w:t>
      </w:r>
      <w:r w:rsidRPr="06910F8B" w:rsidR="6A5F4401">
        <w:rPr>
          <w:i w:val="1"/>
          <w:iCs w:val="1"/>
        </w:rPr>
        <w:t>fold</w:t>
      </w:r>
      <w:r w:rsidR="6A5F4401">
        <w:rPr/>
        <w:t xml:space="preserve"> interno dividió los 1.135 estudios del conjunto de entrenamiento externo en 908 para ajuste y 227 para validación. Tras seleccionar </w:t>
      </w:r>
      <w:r w:rsidRPr="06910F8B" w:rsidR="6A5F4401">
        <w:rPr>
          <w:rFonts w:ascii="Consolas" w:hAnsi="Consolas" w:eastAsia="Consolas" w:cs="Consolas"/>
          <w:color w:val="auto"/>
          <w:sz w:val="22"/>
          <w:szCs w:val="22"/>
          <w:lang w:eastAsia="en-US" w:bidi="ar-SA"/>
        </w:rPr>
        <w:t>checkpoint</w:t>
      </w:r>
      <w:r w:rsidR="6A5F4401">
        <w:rPr/>
        <w:t xml:space="preserve">_best.pth, se regeneró imagesTs con los 243 estudios del test externo y se realizó la predicción con la CLI nativa. Solo se efectuó una corrida, sin conjunto de cinco </w:t>
      </w:r>
      <w:r w:rsidRPr="06910F8B" w:rsidR="6A5F4401">
        <w:rPr>
          <w:i w:val="1"/>
          <w:iCs w:val="1"/>
        </w:rPr>
        <w:t>folds</w:t>
      </w:r>
      <w:r w:rsidR="6A5F4401">
        <w:rPr/>
        <w:t xml:space="preserve"> ni </w:t>
      </w:r>
      <w:r w:rsidRPr="06910F8B" w:rsidR="6A5F4401">
        <w:rPr>
          <w:i w:val="1"/>
          <w:iCs w:val="1"/>
        </w:rPr>
        <w:t>ensemble</w:t>
      </w:r>
      <w:r w:rsidR="6A5F4401">
        <w:rPr/>
        <w:t>. Sus predicciones se evaluaron con el mismo metrics.py que los modelos MONAI para obtener Dice y HD95 comparables, pero su resultado se trata como referencia contextual por las diferencias de datos efectivos de ajuste, preprocesamiento, pérdida, optimizador y presupuesto.</w:t>
      </w:r>
    </w:p>
    <w:p w:rsidR="06910F8B" w:rsidP="06910F8B" w:rsidRDefault="06910F8B" w14:paraId="21943E69" w14:textId="6A8B2E66">
      <w:pPr>
        <w:pStyle w:val="Normal"/>
        <w:suppressLineNumbers w:val="0"/>
        <w:bidi w:val="0"/>
        <w:spacing w:before="0" w:beforeAutospacing="off" w:after="200" w:afterAutospacing="off" w:line="276" w:lineRule="auto"/>
        <w:ind w:left="0" w:right="0"/>
        <w:jc w:val="both"/>
      </w:pPr>
    </w:p>
    <w:p w:rsidR="00914FAA" w:rsidRDefault="000E7DA8" w14:paraId="3622E4BD" w14:textId="77777777">
      <w:pPr>
        <w:pStyle w:val="Ttulo2"/>
      </w:pPr>
      <w:bookmarkStart w:name="_Toc465335449" w:id="110"/>
      <w:bookmarkStart w:name="Xca20db0b90b5be915372b9e72c569df8846225c" w:id="111"/>
      <w:bookmarkEnd w:id="105"/>
      <w:bookmarkEnd w:id="107"/>
      <w:r w:rsidR="6A5F4401">
        <w:rPr/>
        <w:t>4.5. Evaluación y análisis de resultados (Fase 5)</w:t>
      </w:r>
      <w:bookmarkEnd w:id="110"/>
    </w:p>
    <w:p w:rsidR="03CE1EDE" w:rsidP="06910F8B" w:rsidRDefault="03CE1EDE" w14:paraId="5C6DD15D" w14:textId="50BE9F95">
      <w:pPr>
        <w:pStyle w:val="Normal"/>
      </w:pPr>
      <w:commentRangeStart w:id="44"/>
      <w:r w:rsidR="03CE1EDE">
        <w:rPr/>
        <w:t xml:space="preserve">Esta fase convierte los modelos entrenados en evidencia comparable mediante un proceso común de predicción y evaluación. Las subsecciones describen la inferencia y exportación de las máscaras, el cálculo de Dice y HD95 con convenciones explícitas para los casos vacíos, el análisis de sensibilidad en sujetos no representados en entrenamiento o validación y la información disponible sobre coste computacional. La separación entre la generación de predicciones y cálculo de métricas permite aplicar el mismo evaluador a los modelos MONAI y a </w:t>
      </w:r>
      <w:r w:rsidR="03CE1EDE">
        <w:rPr/>
        <w:t>nnU</w:t>
      </w:r>
      <w:r w:rsidR="03CE1EDE">
        <w:rPr/>
        <w:t>-Net, además de repetir los agregados sin ejecutar de nuevo las redes. Esta sección documenta el procedimiento, las comprobaciones complementarias y sus límites. Los valores obtenidos y su interpretación conjunta se presentan en el Capítulo 5.</w:t>
      </w:r>
      <w:commentRangeEnd w:id="44"/>
      <w:r>
        <w:rPr>
          <w:rStyle w:val="CommentReference"/>
        </w:rPr>
        <w:commentReference w:id="44"/>
      </w:r>
    </w:p>
    <w:p w:rsidR="06910F8B" w:rsidP="06910F8B" w:rsidRDefault="06910F8B" w14:paraId="7BAEAFF2" w14:textId="62C4397F">
      <w:pPr>
        <w:pStyle w:val="Normal"/>
      </w:pPr>
    </w:p>
    <w:p w:rsidR="00914FAA" w:rsidRDefault="000E7DA8" w14:paraId="73AE0A50" w14:textId="77777777">
      <w:pPr>
        <w:pStyle w:val="Ttulo3"/>
      </w:pPr>
      <w:bookmarkStart w:name="_Toc405025390" w:id="112"/>
      <w:bookmarkStart w:name="inferencia-y-exportación-de-predicciones" w:id="113"/>
      <w:r>
        <w:t>4.5.1. Inferencia y exportación de predicciones</w:t>
      </w:r>
      <w:bookmarkEnd w:id="112"/>
    </w:p>
    <w:p w:rsidR="00914FAA" w:rsidRDefault="000E7DA8" w14:paraId="76CE8F3A" w14:textId="303A4AD2">
      <w:r w:rsidR="6A5F4401">
        <w:rPr/>
        <w:t xml:space="preserve">Los modelos MONAI se infieren con </w:t>
      </w:r>
      <w:r w:rsidRPr="06910F8B" w:rsidR="6A5F4401">
        <w:rPr>
          <w:rFonts w:ascii="Consolas" w:hAnsi="Consolas" w:eastAsia="Consolas" w:cs="Consolas"/>
        </w:rPr>
        <w:t>sliding_window_inference</w:t>
      </w:r>
      <w:r w:rsidR="6A5F4401">
        <w:rPr/>
        <w:t xml:space="preserve"> sobre ventanas 128³. Las variantes residuales ejecutadas en MPS usan solapamiento </w:t>
      </w:r>
      <w:r w:rsidRPr="06910F8B" w:rsidR="6A5F4401">
        <w:rPr>
          <w:b w:val="1"/>
          <w:bCs w:val="1"/>
        </w:rPr>
        <w:t>0,25</w:t>
      </w:r>
      <w:r w:rsidR="6A5F4401">
        <w:rPr/>
        <w:t xml:space="preserve"> y tamaño de lote de ventana 1</w:t>
      </w:r>
      <w:r w:rsidR="5FCB806C">
        <w:rPr/>
        <w:t xml:space="preserve">. </w:t>
      </w:r>
      <w:r w:rsidR="6A5F4401">
        <w:rPr/>
        <w:t>Attention</w:t>
      </w:r>
      <w:r w:rsidR="6A5F4401">
        <w:rPr/>
        <w:t xml:space="preserve"> U-Net y Swin-UNETR, ejecutados en A100, usan solapamiento </w:t>
      </w:r>
      <w:r w:rsidRPr="06910F8B" w:rsidR="6A5F4401">
        <w:rPr>
          <w:b w:val="1"/>
          <w:bCs w:val="1"/>
        </w:rPr>
        <w:t>0,50</w:t>
      </w:r>
      <w:r w:rsidR="6A5F4401">
        <w:rPr/>
        <w:t xml:space="preserve"> y tamaño de lote de ventana 2. El código no especifica </w:t>
      </w:r>
      <w:r w:rsidR="6A5F4401">
        <w:rPr/>
        <w:t>mode</w:t>
      </w:r>
      <w:r w:rsidR="6A5F4401">
        <w:rPr/>
        <w:t xml:space="preserve">, por lo que MONAI emplea su mezcla constante predeterminada, no mezcla gaussiana. </w:t>
      </w:r>
      <w:r w:rsidR="6A5F4401">
        <w:rPr/>
        <w:t>nnU</w:t>
      </w:r>
      <w:r w:rsidR="6A5F4401">
        <w:rPr/>
        <w:t>-Net utiliza su procedimiento de inferencia propio.</w:t>
      </w:r>
    </w:p>
    <w:p w:rsidR="00914FAA" w:rsidP="06910F8B" w:rsidRDefault="000E7DA8" w14:paraId="6D59A120" w14:textId="3BE8B0D1">
      <w:pPr>
        <w:pStyle w:val="Normal"/>
        <w:suppressLineNumbers w:val="0"/>
        <w:bidi w:val="0"/>
        <w:spacing w:before="0" w:beforeAutospacing="off" w:after="200" w:afterAutospacing="off" w:line="276" w:lineRule="auto"/>
        <w:ind w:left="0" w:right="0"/>
        <w:jc w:val="both"/>
      </w:pPr>
      <w:r w:rsidR="6A5F4401">
        <w:rPr/>
        <w:t xml:space="preserve">El subcomando </w:t>
      </w:r>
      <w:r w:rsidRPr="06910F8B" w:rsidR="6A5F4401">
        <w:rPr>
          <w:rFonts w:ascii="Consolas" w:hAnsi="Consolas" w:eastAsia="Consolas" w:cs="Consolas"/>
        </w:rPr>
        <w:t>predict</w:t>
      </w:r>
      <w:r w:rsidR="6A5F4401">
        <w:rPr/>
        <w:t xml:space="preserve"> reconstruye el modelo MONAI desde su YAML, carga best.pt, aplica sigmoide y umbral 0,5, fuerza el anidamiento ET ⊂ TC ⊂ WT y guarda un </w:t>
      </w:r>
      <w:r w:rsidR="6A5F4401">
        <w:rPr/>
        <w:t>NIfTI</w:t>
      </w:r>
      <w:r w:rsidR="6A5F4401">
        <w:rPr/>
        <w:t xml:space="preserve"> por estudio. El subcomando </w:t>
      </w:r>
      <w:r w:rsidR="6A5F4401">
        <w:rPr/>
        <w:t>evaluate</w:t>
      </w:r>
      <w:r w:rsidR="6A5F4401">
        <w:rPr/>
        <w:t xml:space="preserve"> es posterior e independiente</w:t>
      </w:r>
      <w:r w:rsidR="5EFA68EE">
        <w:rPr/>
        <w:t>, ya que</w:t>
      </w:r>
      <w:r w:rsidR="6A5F4401">
        <w:rPr/>
        <w:t xml:space="preserve"> lee esos </w:t>
      </w:r>
      <w:r w:rsidR="6A5F4401">
        <w:rPr/>
        <w:t>NIfTI</w:t>
      </w:r>
      <w:r w:rsidR="6A5F4401">
        <w:rPr/>
        <w:t xml:space="preserve"> y las máscaras de referencia y calcula las métricas. Esta separación permite repetir el cálculo sin volver a ejecutar la red.</w:t>
      </w:r>
    </w:p>
    <w:p w:rsidR="06910F8B" w:rsidP="06910F8B" w:rsidRDefault="06910F8B" w14:paraId="2E95708E" w14:textId="3E62EE61">
      <w:pPr>
        <w:pStyle w:val="Normal"/>
        <w:suppressLineNumbers w:val="0"/>
        <w:bidi w:val="0"/>
        <w:spacing w:before="0" w:beforeAutospacing="off" w:after="200" w:afterAutospacing="off" w:line="276" w:lineRule="auto"/>
        <w:ind w:left="0" w:right="0"/>
        <w:jc w:val="both"/>
      </w:pPr>
    </w:p>
    <w:p w:rsidR="00914FAA" w:rsidRDefault="000E7DA8" w14:paraId="2287289C" w14:textId="77777777">
      <w:pPr>
        <w:pStyle w:val="Ttulo3"/>
      </w:pPr>
      <w:bookmarkStart w:name="_Toc2019152793" w:id="114"/>
      <w:bookmarkStart w:name="métricas-de-evaluación" w:id="115"/>
      <w:bookmarkEnd w:id="109"/>
      <w:r>
        <w:lastRenderedPageBreak/>
        <w:t>4.5.2. Métricas de evaluación</w:t>
      </w:r>
      <w:bookmarkEnd w:id="114"/>
    </w:p>
    <w:p w:rsidR="00914FAA" w:rsidRDefault="000E7DA8" w14:paraId="362DB660" w14:textId="77777777">
      <w:r w:rsidR="6A5F4401">
        <w:rPr/>
        <w:t xml:space="preserve">El rendimiento se cuantifica con Dice y HD95 por región mediante </w:t>
      </w:r>
      <w:r w:rsidRPr="06910F8B" w:rsidR="6A5F4401">
        <w:rPr>
          <w:rFonts w:ascii="Consolas" w:hAnsi="Consolas" w:eastAsia="Consolas" w:cs="Consolas"/>
          <w:color w:val="auto"/>
          <w:sz w:val="22"/>
          <w:szCs w:val="22"/>
          <w:lang w:eastAsia="en-US" w:bidi="ar-SA"/>
        </w:rPr>
        <w:t>tfm_brats/metrics.py</w:t>
      </w:r>
      <w:r w:rsidR="6A5F4401">
        <w:rPr/>
        <w:t>:</w:t>
      </w:r>
    </w:p>
    <w:p w:rsidR="00914FAA" w:rsidRDefault="000E7DA8" w14:paraId="12BA4237" w14:textId="77777777">
      <w:pPr>
        <w:numPr>
          <w:ilvl w:val="0"/>
          <w:numId w:val="6"/>
        </w:numPr>
      </w:pPr>
      <w:r>
        <w:rPr>
          <w:b/>
          <w:bCs/>
        </w:rPr>
        <w:t>Dice</w:t>
      </w:r>
      <w:r>
        <w:t xml:space="preserve"> mide el solapamiento. Se asigna Dice = 1 cuando predicción y referencia están ambas vacías, y Dice = 0 cuando solo una de ellas lo está.</w:t>
      </w:r>
    </w:p>
    <w:p w:rsidR="00914FAA" w:rsidRDefault="000E7DA8" w14:paraId="0E8AFA72" w14:textId="79846572">
      <w:pPr>
        <w:numPr>
          <w:ilvl w:val="0"/>
          <w:numId w:val="6"/>
        </w:numPr>
        <w:rPr/>
      </w:pPr>
      <w:r w:rsidRPr="06910F8B" w:rsidR="6A5F4401">
        <w:rPr>
          <w:b w:val="1"/>
          <w:bCs w:val="1"/>
        </w:rPr>
        <w:t>HD95</w:t>
      </w:r>
      <w:r w:rsidR="6A5F4401">
        <w:rPr/>
        <w:t xml:space="preserve"> calcula el percentil 95 de las distancias simétricas entre superficies usando el espaciado real del </w:t>
      </w:r>
      <w:r w:rsidR="6A5F4401">
        <w:rPr/>
        <w:t>NIfTI</w:t>
      </w:r>
      <w:r w:rsidR="6A5F4401">
        <w:rPr/>
        <w:t>. Si ambas máscaras están vacías se asigna HD95 = 0</w:t>
      </w:r>
      <w:r w:rsidR="3A111A6C">
        <w:rPr/>
        <w:t>. S</w:t>
      </w:r>
      <w:r w:rsidR="6A5F4401">
        <w:rPr/>
        <w:t>i exactamente una está vacía, el resultado es infinito.</w:t>
      </w:r>
    </w:p>
    <w:p w:rsidR="00914FAA" w:rsidP="06910F8B" w:rsidRDefault="000E7DA8" w14:paraId="04B69F51" w14:textId="23F32CEF">
      <w:pPr>
        <w:pStyle w:val="Normal"/>
      </w:pPr>
      <w:r w:rsidR="6A5F4401">
        <w:rPr/>
        <w:t xml:space="preserve">Los resúmenes de HD95 conservan los </w:t>
      </w:r>
      <w:r w:rsidR="6A5F4401">
        <w:rPr/>
        <w:t>ceros</w:t>
      </w:r>
      <w:r w:rsidR="6A5F4401">
        <w:rPr/>
        <w:t xml:space="preserve"> de los casos doblemente vacíos y excluyen los infinitos del promedio. Por ello, el Capítulo 5 presenta cada media junto al número de estudios con valor finito. Las métricas son internas y por región</w:t>
      </w:r>
      <w:r w:rsidR="08E4CD7E">
        <w:rPr/>
        <w:t xml:space="preserve">, por lo </w:t>
      </w:r>
      <w:r w:rsidR="08E4CD7E">
        <w:rPr/>
        <w:t xml:space="preserve">que </w:t>
      </w:r>
      <w:r w:rsidR="6A5F4401">
        <w:rPr/>
        <w:t xml:space="preserve"> no</w:t>
      </w:r>
      <w:r w:rsidR="6A5F4401">
        <w:rPr/>
        <w:t xml:space="preserve"> reproducen el protocolo oculto ni las métricas </w:t>
      </w:r>
      <w:r w:rsidRPr="06910F8B" w:rsidR="6A5F4401">
        <w:rPr>
          <w:i w:val="1"/>
          <w:iCs w:val="1"/>
        </w:rPr>
        <w:t>lesion-wise</w:t>
      </w:r>
      <w:r w:rsidR="6A5F4401">
        <w:rPr/>
        <w:t xml:space="preserve"> del reto oficial</w:t>
      </w:r>
      <w:r w:rsidR="076A7BB9">
        <w:rPr/>
        <w:t xml:space="preserve"> de </w:t>
      </w:r>
      <w:r w:rsidR="34BEDB6F">
        <w:rPr/>
        <w:t>BraTS-GLI 2024</w:t>
      </w:r>
      <w:r w:rsidR="076A7BB9">
        <w:rPr/>
        <w:t>.</w:t>
      </w:r>
    </w:p>
    <w:p w:rsidR="06910F8B" w:rsidRDefault="06910F8B" w14:paraId="134C5595" w14:textId="7EEE6863"/>
    <w:p w:rsidR="00914FAA" w:rsidRDefault="000E7DA8" w14:paraId="6D0A86DE" w14:textId="77777777">
      <w:pPr>
        <w:pStyle w:val="Ttulo3"/>
      </w:pPr>
      <w:bookmarkStart w:name="_Toc788620682" w:id="116"/>
      <w:bookmarkStart w:name="análisis-de-sensibilidad-por-sujeto" w:id="117"/>
      <w:bookmarkEnd w:id="111"/>
      <w:r>
        <w:t>4.5.3. Análisis de sensibilidad por sujeto</w:t>
      </w:r>
      <w:bookmarkEnd w:id="116"/>
    </w:p>
    <w:p w:rsidR="00914FAA" w:rsidRDefault="000E7DA8" w14:paraId="47E4E570" w14:textId="77777777">
      <w:commentRangeStart w:id="45"/>
      <w:r w:rsidR="6A5F4401">
        <w:rPr/>
        <w:t xml:space="preserve">Tras identificar que la partición estaba definida por estudio, se realizó una comprobación </w:t>
      </w:r>
      <w:r w:rsidRPr="06910F8B" w:rsidR="6A5F4401">
        <w:rPr>
          <w:i w:val="1"/>
          <w:iCs w:val="1"/>
        </w:rPr>
        <w:t>post hoc</w:t>
      </w:r>
      <w:r w:rsidR="6A5F4401">
        <w:rPr/>
        <w:t xml:space="preserve"> sobre los 38 estudios de test pertenecientes a 29 sujetos sin presencia en entrenamiento ni validación. Se reutilizaron las predicciones finales y se recalcularon los agregados de las cuatro estrategias de fusión. Este análisis comprueba si se mantiene la ordenación descriptiva, pero no sustituye una partición por sujeto diseñada antes del entrenamiento.</w:t>
      </w:r>
      <w:commentRangeEnd w:id="45"/>
      <w:r>
        <w:rPr>
          <w:rStyle w:val="CommentReference"/>
        </w:rPr>
        <w:commentReference w:id="45"/>
      </w:r>
    </w:p>
    <w:p w:rsidR="06910F8B" w:rsidRDefault="06910F8B" w14:paraId="3E3CC811" w14:textId="7CD4D0BB"/>
    <w:p w:rsidR="00914FAA" w:rsidRDefault="000E7DA8" w14:paraId="3342DE05" w14:textId="77777777">
      <w:pPr>
        <w:pStyle w:val="Ttulo3"/>
      </w:pPr>
      <w:bookmarkStart w:name="_Toc369998143" w:id="118"/>
      <w:bookmarkStart w:name="huella-computacional" w:id="119"/>
      <w:bookmarkEnd w:id="113"/>
      <w:r>
        <w:t>4.5.4. Huella computacional</w:t>
      </w:r>
      <w:bookmarkEnd w:id="118"/>
    </w:p>
    <w:p w:rsidR="00914FAA" w:rsidRDefault="000E7DA8" w14:paraId="274C219C" w14:textId="6867D141">
      <w:r w:rsidR="6A5F4401">
        <w:rPr/>
        <w:t xml:space="preserve">El número de parámetros se obtuvo de los modelos instanciados. En </w:t>
      </w:r>
      <w:r w:rsidR="6A5F4401">
        <w:rPr/>
        <w:t xml:space="preserve">la </w:t>
      </w:r>
      <w:r w:rsidRPr="06910F8B" w:rsidR="6A5F4401">
        <w:rPr>
          <w:i w:val="1"/>
          <w:iCs w:val="1"/>
        </w:rPr>
        <w:t>pipeline</w:t>
      </w:r>
      <w:r w:rsidR="6A5F4401">
        <w:rPr/>
        <w:t xml:space="preserve"> MONAI, el tiempo de pared se registra con </w:t>
      </w:r>
      <w:r w:rsidRPr="06910F8B" w:rsidR="6A5F4401">
        <w:rPr>
          <w:rFonts w:ascii="Consolas" w:hAnsi="Consolas" w:eastAsia="Consolas" w:cs="Consolas"/>
        </w:rPr>
        <w:t>perf_counter</w:t>
      </w:r>
      <w:r w:rsidRPr="06910F8B" w:rsidR="6A5F4401">
        <w:rPr>
          <w:rFonts w:ascii="Consolas" w:hAnsi="Consolas" w:eastAsia="Consolas" w:cs="Consolas"/>
        </w:rPr>
        <w:t xml:space="preserve"> </w:t>
      </w:r>
      <w:r w:rsidR="6A5F4401">
        <w:rPr/>
        <w:t xml:space="preserve">desde el inicio del entrenamiento hasta la última validación, y en CUDA se consulta el máximo de memoria asignada por </w:t>
      </w:r>
      <w:r w:rsidR="6A5F4401">
        <w:rPr/>
        <w:t>PyTorch</w:t>
      </w:r>
      <w:r w:rsidR="6A5F4401">
        <w:rPr/>
        <w:t xml:space="preserve">. Esta medida no está disponible de forma equivalente en MPS. Para </w:t>
      </w:r>
      <w:r w:rsidR="6A5F4401">
        <w:rPr/>
        <w:t>nnU</w:t>
      </w:r>
      <w:r w:rsidR="6A5F4401">
        <w:rPr/>
        <w:t>-Net, el tiempo se recuperó de las marcas del registro entre el inicio de la época 0 y Training done</w:t>
      </w:r>
      <w:r w:rsidR="687521D7">
        <w:rPr/>
        <w:t>. N</w:t>
      </w:r>
      <w:r w:rsidR="6A5F4401">
        <w:rPr/>
        <w:t>o incluye planificación, preprocesamiento, validación final completa ni inferencia. Al no existir tiempos de inferencia y memoria homogéneos para todos los modelos, el Capítulo 5 limita la comparación computacional a los registros conservados.</w:t>
      </w:r>
    </w:p>
    <w:p w:rsidR="06910F8B" w:rsidRDefault="06910F8B" w14:paraId="36E542EE" w14:textId="2BC39BD8"/>
    <w:p w:rsidR="00914FAA" w:rsidRDefault="000E7DA8" w14:paraId="2EB23590" w14:textId="77777777">
      <w:pPr>
        <w:pStyle w:val="Ttulo2"/>
      </w:pPr>
      <w:bookmarkStart w:name="_Toc931392265" w:id="120"/>
      <w:bookmarkStart w:name="restricciones-y-alcance-clínico" w:id="121"/>
      <w:bookmarkEnd w:id="115"/>
      <w:bookmarkEnd w:id="117"/>
      <w:r>
        <w:t>4.6. Restricciones y alcance clínico</w:t>
      </w:r>
      <w:bookmarkEnd w:id="120"/>
    </w:p>
    <w:p w:rsidR="00914FAA" w:rsidRDefault="000E7DA8" w14:paraId="05BDB1A1" w14:textId="77777777">
      <w:r>
        <w:t>El sistema segmenta ET, TC y WT en resonancias multimodales post-tratamiento de sujetos incluidos en BraTS-GLI 2024. No se entrenó con cerebros sanos ni con otras patologías, por lo que no debe interpretarse como un sistema de detección de tumor ni de diagnóstico diferencial. Tampoco se ha evaluado en otras instituciones o protocolos de adquisición. A ello se añade que el reparto por estudio no garantiza independencia por sujeto. En consecuencia, los resultados describen el comportamiento experimental de los modelos dentro de este conjunto y no una validación clínica para uso asistencial.</w:t>
      </w:r>
    </w:p>
    <w:p w:rsidR="00914FAA" w:rsidRDefault="000E7DA8" w14:paraId="59541892" w14:textId="77777777">
      <w:pPr>
        <w:pStyle w:val="Ttulo1"/>
        <w:pageBreakBefore/>
      </w:pPr>
      <w:bookmarkStart w:name="_Toc752310574" w:id="122"/>
      <w:bookmarkStart w:name="resultados" w:id="123"/>
      <w:bookmarkEnd w:id="119"/>
      <w:bookmarkEnd w:id="121"/>
      <w:r>
        <w:lastRenderedPageBreak/>
        <w:t>5. Resultados</w:t>
      </w:r>
      <w:bookmarkEnd w:id="122"/>
    </w:p>
    <w:p w:rsidR="00914FAA" w:rsidRDefault="000E7DA8" w14:paraId="0A3F83E4" w14:textId="77777777">
      <w:commentRangeStart w:id="46"/>
      <w:r w:rsidR="6A5F4401">
        <w:rPr/>
        <w:t>Este capítulo presenta los resultados obtenidos con las configuraciones experimentales descritas en el Capítulo 4. El análisis se centra en determinar si las estrategias explícitas de ponderación multimodal mejoran la concatenación directa cuando se mantiene fija la Residual U-Net 3D. A continuación, los resultados se contextualizan mediante Attention U-Net, Swin-UNETR y la referencia externa nnU-Net. El capítulo concluye con el análisis de la huella computacional y dos comparaciones cualitativas.</w:t>
      </w:r>
      <w:commentRangeEnd w:id="46"/>
      <w:r>
        <w:rPr>
          <w:rStyle w:val="CommentReference"/>
        </w:rPr>
        <w:commentReference w:id="46"/>
      </w:r>
    </w:p>
    <w:p w:rsidR="06910F8B" w:rsidRDefault="06910F8B" w14:paraId="2A5969AC" w14:textId="54D50617"/>
    <w:p w:rsidR="00914FAA" w:rsidRDefault="000E7DA8" w14:paraId="41B3760E" w14:textId="77777777">
      <w:pPr>
        <w:pStyle w:val="Ttulo2"/>
      </w:pPr>
      <w:bookmarkStart w:name="_Toc591682101" w:id="124"/>
      <w:bookmarkStart w:name="Xb98635da2c3fe931d9650eefb1c54e512211e28" w:id="125"/>
      <w:r>
        <w:t>5.1. Alcance del análisis y protocolo de reporte</w:t>
      </w:r>
      <w:bookmarkEnd w:id="124"/>
    </w:p>
    <w:p w:rsidR="00914FAA" w:rsidRDefault="000E7DA8" w14:paraId="1CC4C1B8" w14:textId="77777777">
      <w:r>
        <w:t xml:space="preserve">Las métricas se calcularon sobre la partición denominada test, formada por 243 estudios de imagen cuyos identificadores completos no aparecen en las particiones de entrenamiento o validación. Las configuraciones basadas en MONAI se entrenaron con las semillas 20260526, 20260527 y 20260528. Para ellas se presenta la media y la desviación estándar poblacional de las tres corridas. nnU-Net se entrenó una sola vez con la configuración 3d_fullres y el </w:t>
      </w:r>
      <w:r>
        <w:rPr>
          <w:i/>
          <w:iCs/>
        </w:rPr>
        <w:t>fold</w:t>
      </w:r>
      <w:r>
        <w:t xml:space="preserve"> 0, por lo que sus resultados no incluyen una estimación de variabilidad entre repeticiones.</w:t>
      </w:r>
    </w:p>
    <w:p w:rsidR="00914FAA" w:rsidRDefault="000E7DA8" w14:paraId="43486006" w14:textId="77777777">
      <w:commentRangeStart w:id="47"/>
      <w:r>
        <w:t>La partición se generó a nivel de estudio de imagen, no mediante agrupación por sujeto. Debido al carácter longitudinal del conjunto BraTS-GLI 2024, un mismo sujeto puede aportar más de un estudio y aparecer en particiones diferentes. Una comprobación posterior identificó que 205 de los 243 estudios de test pertenecen a sujetos con algún otro estudio en entrenamiento o validación. Por ello, las métricas se interpretan como una comparación experimental a nivel de estudio y no como una estimación independiente de generalización a sujetos completamente nuevos. Este alcance no impide comparar las estrategias de fusión bajo una partición común, pero limita la interpretación absoluta de sus valores.</w:t>
      </w:r>
      <w:commentRangeEnd w:id="47"/>
      <w:r>
        <w:rPr>
          <w:rStyle w:val="CommentReference"/>
        </w:rPr>
        <w:commentReference w:id="47"/>
      </w:r>
    </w:p>
    <w:p w:rsidR="00914FAA" w:rsidRDefault="000E7DA8" w14:paraId="4A989827" w14:textId="77777777">
      <w:r>
        <w:t>La ablación de fusión constituye la comparación más controlada del trabajo: las cuatro estrategias comparten la misma Residual U-Net, datos, hiperparámetros, presupuesto de 15.000 pasos y protocolo de inferencia. Swin-UNETR y Attention U-Net comparten entre sí el protocolo ejecutado en A100. En cambio, la comparación de estas arquitecturas con las variantes residuales debe considerarse descriptiva, puesto que se utilizaron entornos de ejecución y valores de solapamiento de ventana diferentes. nnU-Net empleó además su propio proceso de planificación, preprocesamiento y entrenamiento.</w:t>
      </w:r>
    </w:p>
    <w:p w:rsidR="00914FAA" w:rsidRDefault="000E7DA8" w14:paraId="5B11DF11" w14:textId="77777777">
      <w:r>
        <w:t>Las métricas utilizadas son Dice y HD95 para ET, TC y WT. En Dice, los valores más altos indican mayor solapamiento. En HD95, los valores más bajos indican menor discrepancia entre las superficies. La implementación asigna HD95 igual a cero cuando predicción y referencia están ambas vacías e infinito cuando únicamente una de ellas lo está. Los valores infinitos se excluyen posteriormente del promedio, mientras que los ceros se conservan. En consecuencia, HD95 debe interpretarse junto con el número de estudios que presentan un valor finito.</w:t>
      </w:r>
    </w:p>
    <w:p w:rsidR="00914FAA" w:rsidRDefault="000E7DA8" w14:paraId="57A77347" w14:textId="77777777">
      <w:r w:rsidR="6A5F4401">
        <w:rPr/>
        <w:t>Los resultados se analizan descriptivamente. No se realizaron contrastes de hipótesis ni se definieron márgenes de equivalencia. Asimismo, el presupuesto de 15.000 pasos se fijó a partir de la sonda descrita en el Capítulo 4, pero no se utiliza para afirmar que todas las arquitecturas alcanzaran individualmente la convergencia ni para demostrar ausencia de sobreajuste.</w:t>
      </w:r>
    </w:p>
    <w:p w:rsidR="06910F8B" w:rsidRDefault="06910F8B" w14:paraId="71DE9756" w14:textId="4FCEA489"/>
    <w:p w:rsidR="00914FAA" w:rsidRDefault="000E7DA8" w14:paraId="4DFE5E68" w14:textId="77777777">
      <w:pPr>
        <w:pStyle w:val="Ttulo2"/>
      </w:pPr>
      <w:bookmarkStart w:name="_Toc1178468853" w:id="126"/>
      <w:bookmarkStart w:name="X4fc37aec60336809c8ece967bb130544a2eb126" w:id="127"/>
      <w:bookmarkEnd w:id="123"/>
      <w:r>
        <w:t>5.2. Estudio de ablación de las estrategias de fusión</w:t>
      </w:r>
      <w:bookmarkEnd w:id="126"/>
    </w:p>
    <w:p w:rsidR="00914FAA" w:rsidRDefault="000E7DA8" w14:paraId="3278A009" w14:textId="77777777">
      <w:r>
        <w:t>La comparación principal incluye cuatro configuraciones construidas sobre la misma Residual U-Net 3D: concatenación directa, ponderación global estática, compuerta adaptativa basada en la media y compuerta adaptativa basada en la media y la desviación típica. La Tabla 12 presenta el Dice medio obtenido por cada semilla.</w:t>
      </w:r>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700"/>
        <w:gridCol w:w="1701"/>
        <w:gridCol w:w="1701"/>
        <w:gridCol w:w="1701"/>
        <w:gridCol w:w="1701"/>
      </w:tblGrid>
      <w:tr w:rsidR="00914FAA" w:rsidTr="06910F8B" w14:paraId="570A2A3E" w14:textId="77777777">
        <w:trPr>
          <w:cantSplit/>
          <w:tblHeader/>
          <w:jc w:val="center"/>
        </w:trPr>
        <w:tc>
          <w:tcPr>
            <w:tcW w:w="1701" w:type="dxa"/>
            <w:shd w:val="clear" w:color="auto" w:fill="ED7D31"/>
            <w:tcMar>
              <w:top w:w="70" w:type="dxa"/>
              <w:left w:w="70" w:type="dxa"/>
              <w:bottom w:w="70" w:type="dxa"/>
              <w:right w:w="70" w:type="dxa"/>
            </w:tcMar>
            <w:vAlign w:val="center"/>
          </w:tcPr>
          <w:p w:rsidR="00914FAA" w:rsidP="06910F8B" w:rsidRDefault="000E7DA8" w14:paraId="58A05475"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Estrategia de fusión</w:t>
            </w:r>
          </w:p>
        </w:tc>
        <w:tc>
          <w:tcPr>
            <w:tcW w:w="1701" w:type="dxa"/>
            <w:shd w:val="clear" w:color="auto" w:fill="ED7D31"/>
            <w:tcMar>
              <w:top w:w="70" w:type="dxa"/>
              <w:left w:w="70" w:type="dxa"/>
              <w:bottom w:w="70" w:type="dxa"/>
              <w:right w:w="70" w:type="dxa"/>
            </w:tcMar>
            <w:vAlign w:val="center"/>
          </w:tcPr>
          <w:p w:rsidR="00914FAA" w:rsidP="06910F8B" w:rsidRDefault="000E7DA8" w14:paraId="19D4E885"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Semilla 26</w:t>
            </w:r>
          </w:p>
        </w:tc>
        <w:tc>
          <w:tcPr>
            <w:tcW w:w="1701" w:type="dxa"/>
            <w:shd w:val="clear" w:color="auto" w:fill="ED7D31"/>
            <w:tcMar>
              <w:top w:w="70" w:type="dxa"/>
              <w:left w:w="70" w:type="dxa"/>
              <w:bottom w:w="70" w:type="dxa"/>
              <w:right w:w="70" w:type="dxa"/>
            </w:tcMar>
            <w:vAlign w:val="center"/>
          </w:tcPr>
          <w:p w:rsidR="00914FAA" w:rsidP="06910F8B" w:rsidRDefault="000E7DA8" w14:paraId="17E8EBE5"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Semilla 27</w:t>
            </w:r>
          </w:p>
        </w:tc>
        <w:tc>
          <w:tcPr>
            <w:tcW w:w="1701" w:type="dxa"/>
            <w:shd w:val="clear" w:color="auto" w:fill="ED7D31"/>
            <w:tcMar>
              <w:top w:w="70" w:type="dxa"/>
              <w:left w:w="70" w:type="dxa"/>
              <w:bottom w:w="70" w:type="dxa"/>
              <w:right w:w="70" w:type="dxa"/>
            </w:tcMar>
            <w:vAlign w:val="center"/>
          </w:tcPr>
          <w:p w:rsidR="00914FAA" w:rsidP="06910F8B" w:rsidRDefault="000E7DA8" w14:paraId="5DAE5ECC"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Semilla 28</w:t>
            </w:r>
          </w:p>
        </w:tc>
        <w:tc>
          <w:tcPr>
            <w:tcW w:w="1701" w:type="dxa"/>
            <w:shd w:val="clear" w:color="auto" w:fill="ED7D31"/>
            <w:tcMar>
              <w:top w:w="70" w:type="dxa"/>
              <w:left w:w="70" w:type="dxa"/>
              <w:bottom w:w="70" w:type="dxa"/>
              <w:right w:w="70" w:type="dxa"/>
            </w:tcMar>
            <w:vAlign w:val="center"/>
          </w:tcPr>
          <w:p w:rsidR="00914FAA" w:rsidP="06910F8B" w:rsidRDefault="000E7DA8" w14:paraId="05779134"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Media ± desv.</w:t>
            </w:r>
          </w:p>
        </w:tc>
      </w:tr>
      <w:tr w:rsidR="00914FAA" w:rsidTr="06910F8B" w14:paraId="28AC621C" w14:textId="77777777">
        <w:trPr>
          <w:cantSplit/>
          <w:jc w:val="center"/>
        </w:trPr>
        <w:tc>
          <w:tcPr>
            <w:tcW w:w="1701" w:type="dxa"/>
            <w:shd w:val="clear" w:color="auto" w:fill="FFFFFF" w:themeFill="background1"/>
            <w:tcMar>
              <w:top w:w="70" w:type="dxa"/>
              <w:left w:w="70" w:type="dxa"/>
              <w:bottom w:w="70" w:type="dxa"/>
              <w:right w:w="70" w:type="dxa"/>
            </w:tcMar>
            <w:vAlign w:val="center"/>
          </w:tcPr>
          <w:p w:rsidR="00914FAA" w:rsidP="06910F8B" w:rsidRDefault="000E7DA8" w14:paraId="3C0368C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Concatenación (concat)</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69D6CB5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0,698</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7042D16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0,711</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4E67E9E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0,708</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0385376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0,706 ± 0,005</w:t>
            </w:r>
          </w:p>
        </w:tc>
      </w:tr>
      <w:tr w:rsidR="00914FAA" w:rsidTr="06910F8B" w14:paraId="0C8D9FB1" w14:textId="77777777">
        <w:trPr>
          <w:cantSplit/>
          <w:jc w:val="center"/>
        </w:trPr>
        <w:tc>
          <w:tcPr>
            <w:tcW w:w="1701" w:type="dxa"/>
            <w:shd w:val="clear" w:color="auto" w:fill="FCE4D6"/>
            <w:tcMar>
              <w:top w:w="70" w:type="dxa"/>
              <w:left w:w="70" w:type="dxa"/>
              <w:bottom w:w="70" w:type="dxa"/>
              <w:right w:w="70" w:type="dxa"/>
            </w:tcMar>
            <w:vAlign w:val="center"/>
          </w:tcPr>
          <w:p w:rsidR="00914FAA" w:rsidP="06910F8B" w:rsidRDefault="000E7DA8" w14:paraId="783C9C4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Ponderación global (global_weighted)</w:t>
            </w:r>
          </w:p>
        </w:tc>
        <w:tc>
          <w:tcPr>
            <w:tcW w:w="1701" w:type="dxa"/>
            <w:shd w:val="clear" w:color="auto" w:fill="FCE4D6"/>
            <w:tcMar>
              <w:top w:w="70" w:type="dxa"/>
              <w:left w:w="70" w:type="dxa"/>
              <w:bottom w:w="70" w:type="dxa"/>
              <w:right w:w="70" w:type="dxa"/>
            </w:tcMar>
            <w:vAlign w:val="center"/>
          </w:tcPr>
          <w:p w:rsidR="00914FAA" w:rsidP="06910F8B" w:rsidRDefault="000E7DA8" w14:paraId="4843E39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0,697</w:t>
            </w:r>
          </w:p>
        </w:tc>
        <w:tc>
          <w:tcPr>
            <w:tcW w:w="1701" w:type="dxa"/>
            <w:shd w:val="clear" w:color="auto" w:fill="FCE4D6"/>
            <w:tcMar>
              <w:top w:w="70" w:type="dxa"/>
              <w:left w:w="70" w:type="dxa"/>
              <w:bottom w:w="70" w:type="dxa"/>
              <w:right w:w="70" w:type="dxa"/>
            </w:tcMar>
            <w:vAlign w:val="center"/>
          </w:tcPr>
          <w:p w:rsidR="00914FAA" w:rsidP="06910F8B" w:rsidRDefault="000E7DA8" w14:paraId="6F7E567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0,713</w:t>
            </w:r>
          </w:p>
        </w:tc>
        <w:tc>
          <w:tcPr>
            <w:tcW w:w="1701" w:type="dxa"/>
            <w:shd w:val="clear" w:color="auto" w:fill="FCE4D6"/>
            <w:tcMar>
              <w:top w:w="70" w:type="dxa"/>
              <w:left w:w="70" w:type="dxa"/>
              <w:bottom w:w="70" w:type="dxa"/>
              <w:right w:w="70" w:type="dxa"/>
            </w:tcMar>
            <w:vAlign w:val="center"/>
          </w:tcPr>
          <w:p w:rsidR="00914FAA" w:rsidP="06910F8B" w:rsidRDefault="000E7DA8" w14:paraId="5CC7174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0,707</w:t>
            </w:r>
          </w:p>
        </w:tc>
        <w:tc>
          <w:tcPr>
            <w:tcW w:w="1701" w:type="dxa"/>
            <w:shd w:val="clear" w:color="auto" w:fill="FCE4D6"/>
            <w:tcMar>
              <w:top w:w="70" w:type="dxa"/>
              <w:left w:w="70" w:type="dxa"/>
              <w:bottom w:w="70" w:type="dxa"/>
              <w:right w:w="70" w:type="dxa"/>
            </w:tcMar>
            <w:vAlign w:val="center"/>
          </w:tcPr>
          <w:p w:rsidR="00914FAA" w:rsidP="06910F8B" w:rsidRDefault="000E7DA8" w14:paraId="5CD5AE5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0,706 ± 0,006</w:t>
            </w:r>
          </w:p>
        </w:tc>
      </w:tr>
      <w:tr w:rsidR="00914FAA" w:rsidTr="06910F8B" w14:paraId="23E82921" w14:textId="77777777">
        <w:trPr>
          <w:cantSplit/>
          <w:jc w:val="center"/>
        </w:trPr>
        <w:tc>
          <w:tcPr>
            <w:tcW w:w="1701" w:type="dxa"/>
            <w:shd w:val="clear" w:color="auto" w:fill="FFFFFF" w:themeFill="background1"/>
            <w:tcMar>
              <w:top w:w="70" w:type="dxa"/>
              <w:left w:w="70" w:type="dxa"/>
              <w:bottom w:w="70" w:type="dxa"/>
              <w:right w:w="70" w:type="dxa"/>
            </w:tcMar>
            <w:vAlign w:val="center"/>
          </w:tcPr>
          <w:p w:rsidR="00914FAA" w:rsidP="06910F8B" w:rsidRDefault="000E7DA8" w14:paraId="3033EE3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Compuerta adaptativa (adaptive_gating)</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5347890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0,702</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7A61B15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0,710</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10DCDC27" w14:textId="77777777">
            <w:pPr>
              <w:spacing w:after="0" w:line="240" w:lineRule="auto"/>
              <w:jc w:val="left"/>
              <w:rPr>
                <w:rFonts w:eastAsia="Arial"/>
                <w:b w:val="1"/>
                <w:bCs w:val="1"/>
                <w:color w:val="000000" w:themeColor="text1" w:themeTint="FF" w:themeShade="FF"/>
                <w:sz w:val="20"/>
                <w:szCs w:val="20"/>
              </w:rPr>
            </w:pPr>
            <w:r w:rsidRPr="06910F8B" w:rsidR="6A5F4401">
              <w:rPr>
                <w:rFonts w:eastAsia="Arial"/>
                <w:b w:val="1"/>
                <w:bCs w:val="1"/>
                <w:color w:val="000000" w:themeColor="text1" w:themeTint="FF" w:themeShade="FF"/>
                <w:sz w:val="20"/>
                <w:szCs w:val="20"/>
              </w:rPr>
              <w:t>0,347</w:t>
            </w:r>
          </w:p>
        </w:tc>
        <w:tc>
          <w:tcPr>
            <w:tcW w:w="1701" w:type="dxa"/>
            <w:shd w:val="clear" w:color="auto" w:fill="FFFFFF" w:themeFill="background1"/>
            <w:tcMar>
              <w:top w:w="70" w:type="dxa"/>
              <w:left w:w="70" w:type="dxa"/>
              <w:bottom w:w="70" w:type="dxa"/>
              <w:right w:w="70" w:type="dxa"/>
            </w:tcMar>
            <w:vAlign w:val="center"/>
          </w:tcPr>
          <w:p w:rsidR="00914FAA" w:rsidP="06910F8B" w:rsidRDefault="000E7DA8" w14:paraId="03F688BB"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0,586 ± 0,169</w:t>
            </w:r>
          </w:p>
        </w:tc>
      </w:tr>
      <w:tr w:rsidR="00914FAA" w:rsidTr="06910F8B" w14:paraId="5589EB68" w14:textId="77777777">
        <w:trPr>
          <w:cantSplit/>
          <w:jc w:val="center"/>
        </w:trPr>
        <w:tc>
          <w:tcPr>
            <w:tcW w:w="1701" w:type="dxa"/>
            <w:shd w:val="clear" w:color="auto" w:fill="FCE4D6"/>
            <w:tcMar>
              <w:top w:w="70" w:type="dxa"/>
              <w:left w:w="70" w:type="dxa"/>
              <w:bottom w:w="70" w:type="dxa"/>
              <w:right w:w="70" w:type="dxa"/>
            </w:tcMar>
            <w:vAlign w:val="center"/>
          </w:tcPr>
          <w:p w:rsidR="00914FAA" w:rsidP="06910F8B" w:rsidRDefault="000E7DA8" w14:paraId="1C7E9D80"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Compuerta adaptativa (media+desv.)</w:t>
            </w:r>
          </w:p>
        </w:tc>
        <w:tc>
          <w:tcPr>
            <w:tcW w:w="1701" w:type="dxa"/>
            <w:shd w:val="clear" w:color="auto" w:fill="FCE4D6"/>
            <w:tcMar>
              <w:top w:w="70" w:type="dxa"/>
              <w:left w:w="70" w:type="dxa"/>
              <w:bottom w:w="70" w:type="dxa"/>
              <w:right w:w="70" w:type="dxa"/>
            </w:tcMar>
            <w:vAlign w:val="center"/>
          </w:tcPr>
          <w:p w:rsidR="00914FAA" w:rsidP="06910F8B" w:rsidRDefault="000E7DA8" w14:paraId="406CE80E"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0,711</w:t>
            </w:r>
          </w:p>
        </w:tc>
        <w:tc>
          <w:tcPr>
            <w:tcW w:w="1701" w:type="dxa"/>
            <w:shd w:val="clear" w:color="auto" w:fill="FCE4D6"/>
            <w:tcMar>
              <w:top w:w="70" w:type="dxa"/>
              <w:left w:w="70" w:type="dxa"/>
              <w:bottom w:w="70" w:type="dxa"/>
              <w:right w:w="70" w:type="dxa"/>
            </w:tcMar>
            <w:vAlign w:val="center"/>
          </w:tcPr>
          <w:p w:rsidR="00914FAA" w:rsidP="06910F8B" w:rsidRDefault="000E7DA8" w14:paraId="2D0F2F8A" w14:textId="77777777">
            <w:pPr>
              <w:keepNext w:val="1"/>
              <w:spacing w:after="0" w:line="240" w:lineRule="auto"/>
              <w:jc w:val="left"/>
              <w:rPr>
                <w:rFonts w:eastAsia="Arial"/>
                <w:b w:val="1"/>
                <w:bCs w:val="1"/>
                <w:color w:val="000000" w:themeColor="text1" w:themeTint="FF" w:themeShade="FF"/>
                <w:sz w:val="20"/>
                <w:szCs w:val="20"/>
              </w:rPr>
            </w:pPr>
            <w:r w:rsidRPr="06910F8B" w:rsidR="6A5F4401">
              <w:rPr>
                <w:rFonts w:eastAsia="Arial"/>
                <w:b w:val="1"/>
                <w:bCs w:val="1"/>
                <w:color w:val="000000" w:themeColor="text1" w:themeTint="FF" w:themeShade="FF"/>
                <w:sz w:val="20"/>
                <w:szCs w:val="20"/>
              </w:rPr>
              <w:t>0,349</w:t>
            </w:r>
          </w:p>
        </w:tc>
        <w:tc>
          <w:tcPr>
            <w:tcW w:w="1701" w:type="dxa"/>
            <w:shd w:val="clear" w:color="auto" w:fill="FCE4D6"/>
            <w:tcMar>
              <w:top w:w="70" w:type="dxa"/>
              <w:left w:w="70" w:type="dxa"/>
              <w:bottom w:w="70" w:type="dxa"/>
              <w:right w:w="70" w:type="dxa"/>
            </w:tcMar>
            <w:vAlign w:val="center"/>
          </w:tcPr>
          <w:p w:rsidR="00914FAA" w:rsidP="06910F8B" w:rsidRDefault="000E7DA8" w14:paraId="3A9F7B6D"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0,714</w:t>
            </w:r>
          </w:p>
        </w:tc>
        <w:tc>
          <w:tcPr>
            <w:tcW w:w="1701" w:type="dxa"/>
            <w:shd w:val="clear" w:color="auto" w:fill="FCE4D6"/>
            <w:tcMar>
              <w:top w:w="70" w:type="dxa"/>
              <w:left w:w="70" w:type="dxa"/>
              <w:bottom w:w="70" w:type="dxa"/>
              <w:right w:w="70" w:type="dxa"/>
            </w:tcMar>
            <w:vAlign w:val="center"/>
          </w:tcPr>
          <w:p w:rsidR="00914FAA" w:rsidP="06910F8B" w:rsidRDefault="000E7DA8" w14:paraId="134EEA94"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0,592 ± 0,171</w:t>
            </w:r>
          </w:p>
        </w:tc>
      </w:tr>
    </w:tbl>
    <w:p w:rsidR="00914FAA" w:rsidRDefault="000E7DA8" w14:paraId="2718E51A" w14:textId="77777777">
      <w:pPr>
        <w:pStyle w:val="Descripcin"/>
        <w:keepLines/>
      </w:pPr>
      <w:bookmarkStart w:name="_Toc235507370" w:id="128"/>
      <w:r>
        <w:rPr>
          <w:b/>
        </w:rPr>
        <w:t xml:space="preserve">Tabla </w:t>
      </w:r>
      <w:r>
        <w:fldChar w:fldCharType="begin"/>
      </w:r>
      <w:r>
        <w:instrText xml:space="preserve"> SEQ Tabla \* ARABIC </w:instrText>
      </w:r>
      <w:r>
        <w:fldChar w:fldCharType="separate"/>
      </w:r>
      <w:r>
        <w:rPr>
          <w:b/>
        </w:rPr>
        <w:t>12</w:t>
      </w:r>
      <w:r>
        <w:fldChar w:fldCharType="end"/>
      </w:r>
      <w:r>
        <w:rPr>
          <w:b/>
        </w:rPr>
        <w:t xml:space="preserve">. </w:t>
      </w:r>
      <w:r>
        <w:t>Dice medio por semilla para las estrategias de fusión evaluadas sobre la misma Residual U-Net 3D. La última columna muestra la media y la desviación estándar poblacional de las tres corridas.</w:t>
      </w:r>
      <w:bookmarkEnd w:id="128"/>
    </w:p>
    <w:p w:rsidR="00914FAA" w:rsidRDefault="000E7DA8" w14:paraId="0119D4A4" w14:textId="77777777">
      <w:r>
        <w:t>La concatenación y la ponderación global producen agregados prácticamente coincidentes. La diferencia media entre ambas es inferior a 0,001 y cambia de signo entre semillas, por lo que no se observa una mejora consistente asociada a la ponderación estática. Los pesos aprendidos por global_weighted permanecieron, además, próximos a la distribución uniforme: entre 0,244 y 0,254 para las cuatro modalidades y las tres semillas. En este experimento, el bloque no desarrolló una preferencia marcada por ninguna modalidad.</w:t>
      </w:r>
    </w:p>
    <w:p w:rsidR="00914FAA" w:rsidRDefault="000E7DA8" w14:paraId="56FF41E9" w14:textId="77777777">
      <w:r>
        <w:t>Las variantes adaptativas presentan un comportamiento diferente. Dos corridas de cada variante alcanzan valores próximos a los de concatenación y ponderación global, entre 0,702 y 0,714. Sin embargo, adaptive_gating obtiene 0,347 con la semilla 20260528 y la variante media+desviación obtiene 0,349 con la semilla 20260527. Estas dos ejecuciones se denominan corridas de bajo rendimiento porque se separan claramente de las otras repeticiones de su configuración. Su presencia reduce el promedio y eleva la dispersión de las variantes adaptativas.</w:t>
      </w:r>
    </w:p>
    <w:p w:rsidR="00914FAA" w:rsidRDefault="000E7DA8" w14:paraId="1990798A" w14:textId="77777777">
      <w:commentRangeStart w:id="48"/>
      <w:r>
        <w:t>La observación de una corrida de bajo rendimiento entre tres repeticiones no permite estimar una probabilidad general de fallo ni determinar su causa. Sí muestra que las variantes adaptativas presentaron mayor variabilidad entre las semillas ejecutadas que la concatenación y la ponderación global dentro del presupuesto evaluado.</w:t>
      </w:r>
      <w:commentRangeEnd w:id="48"/>
      <w:r>
        <w:rPr>
          <w:rStyle w:val="CommentReference"/>
        </w:rPr>
        <w:commentReference w:id="48"/>
      </w:r>
    </w:p>
    <w:p w:rsidR="00914FAA" w:rsidRDefault="000E7DA8" w14:paraId="569365AB" w14:textId="77777777">
      <w:commentRangeStart w:id="49"/>
      <w:r>
        <w:lastRenderedPageBreak/>
        <w:t xml:space="preserve">El análisis de los pesos aporta información adicional. En los tres </w:t>
      </w:r>
      <w:r>
        <w:rPr>
          <w:i/>
          <w:iCs/>
        </w:rPr>
        <w:t>checkpoints</w:t>
      </w:r>
      <w:r>
        <w:t xml:space="preserve"> finales de la compuerta basada solo en la media, la desviación entre 40 estudios de validación fue prácticamente nula. En la variante media+desviación, la máxima desviación por modalidad fue aproximadamente 0,0011. Por tanto, los pesos cambiaron muy poco entre estudios y el comportamiento efectivo de cada </w:t>
      </w:r>
      <w:r>
        <w:rPr>
          <w:i/>
          <w:iCs/>
        </w:rPr>
        <w:t>checkpoint</w:t>
      </w:r>
      <w:r>
        <w:t xml:space="preserve"> fue próximo al de una ponderación estática.</w:t>
      </w:r>
      <w:commentRangeEnd w:id="49"/>
      <w:r>
        <w:rPr>
          <w:rStyle w:val="CommentReference"/>
        </w:rPr>
        <w:commentReference w:id="49"/>
      </w:r>
    </w:p>
    <w:p w:rsidR="00914FAA" w:rsidRDefault="000E7DA8" w14:paraId="6FB03659" w14:textId="77777777">
      <w:r>
        <w:t>No se observó, sin embargo, una concentración de la compuerta en una única modalidad. Las entropías medias se situaron entre 1,353 y 1,380, próximas al máximo de ln(4) = 1,386, y ningún peso medio superó 0,345. Las corridas de bajo Dice deben interpretarse, por tanto, como un deterioro del rendimiento global durante la optimización, no como un colapso de la compuerta sobre una modalidad concreta. La escasa variación de los pesos sugiere que los descriptores globales utilizados aportaron una señal limitada para adaptar la fusión a cada entrada, aunque este diagnóstico no demuestra por sí solo la causa del rendimiento observado.</w:t>
      </w:r>
    </w:p>
    <w:p w:rsidR="00914FAA" w:rsidRDefault="000E7DA8" w14:paraId="5621DD61" w14:textId="77777777">
      <w:commentRangeStart w:id="50"/>
      <w:r>
        <w:t xml:space="preserve">Como comprobación de sensibilidad, se repitió el agregado sobre los 38 estudios correspondientes a 29 sujetos que no aparecen ni en entrenamiento ni en validación. En este subconjunto </w:t>
      </w:r>
      <w:r>
        <w:rPr>
          <w:i/>
          <w:iCs/>
        </w:rPr>
        <w:t>post hoc</w:t>
      </w:r>
      <w:r>
        <w:t>, la concatenación obtuvo 0,751 ± 0,003; la ponderación global, 0,750 ± 0,006; la compuerta adaptativa, 0,617 ± 0,192; y la variante media+desviación, 0,620 ± 0,194. La ordenación se mantiene y respalda la interpretación principal de la ablación. El reducido tamaño del subconjunto impide utilizarlo como sustituto de una evaluación independiente más amplia.</w:t>
      </w:r>
      <w:commentRangeEnd w:id="50"/>
      <w:r>
        <w:rPr>
          <w:rStyle w:val="CommentReference"/>
        </w:rPr>
        <w:commentReference w:id="50"/>
      </w:r>
    </w:p>
    <w:p w:rsidR="00914FAA" w:rsidRDefault="000E7DA8" w14:paraId="6C36C58D" w14:textId="77777777">
      <w:r w:rsidR="6A5F4401">
        <w:rPr/>
        <w:t>En conjunto, los experimentos no aportan evidencia de que las estrategias adaptativas evaluadas mejoren de forma consistente la concatenación directa. Dentro de este montaje, la concatenación fue la alternativa más parsimoniosa y, junto con la ponderación global, la que presentó menor variabilidad entre semillas.</w:t>
      </w:r>
    </w:p>
    <w:p w:rsidR="06910F8B" w:rsidRDefault="06910F8B" w14:paraId="1A23D092" w14:textId="358D736B"/>
    <w:p w:rsidR="00914FAA" w:rsidRDefault="000E7DA8" w14:paraId="0C45A0F8" w14:textId="77777777">
      <w:pPr>
        <w:pStyle w:val="Ttulo2"/>
      </w:pPr>
      <w:bookmarkStart w:name="_Toc788443330" w:id="129"/>
      <w:bookmarkStart w:name="comparación-descriptiva-de-arquitecturas" w:id="130"/>
      <w:bookmarkEnd w:id="125"/>
      <w:r>
        <w:t>5.3. Comparación descriptiva de arquitecturas</w:t>
      </w:r>
      <w:bookmarkEnd w:id="129"/>
    </w:p>
    <w:p w:rsidR="00914FAA" w:rsidRDefault="000E7DA8" w14:paraId="663D0F8D" w14:textId="77777777">
      <w:r w:rsidR="6A5F4401">
        <w:rPr/>
        <w:t>La Tabla 13 amplía el análisis con Attention U-Net, Swin-UNETR y nnU-Net. La tabla muestra el Dice por región y la media de ET, TC y WT. Los valores de las configuraciones MONAI corresponden a tres semillas; nnU-Net procede de una única corrida de referencia.</w:t>
      </w:r>
    </w:p>
    <w:p w:rsidR="06910F8B" w:rsidRDefault="06910F8B" w14:paraId="561668E7" w14:textId="3F96063C"/>
    <w:tbl>
      <w:tblPr>
        <w:tblStyle w:val="Tablaconcuadrcula"/>
        <w:tblW w:w="8504" w:type="dxa"/>
        <w:jc w:val="center"/>
        <w:tblBorders>
          <w:top w:val="single" w:color="BFBFBF" w:themeColor="background1" w:themeShade="BF" w:sz="5" w:space="0"/>
          <w:left w:val="single" w:color="BFBFBF" w:themeColor="background1" w:themeShade="BF" w:sz="5" w:space="0"/>
          <w:bottom w:val="single" w:color="BFBFBF" w:themeColor="background1" w:themeShade="BF" w:sz="5" w:space="0"/>
          <w:right w:val="single" w:color="BFBFBF" w:themeColor="background1" w:themeShade="BF" w:sz="5" w:space="0"/>
          <w:insideH w:val="single" w:color="BFBFBF" w:themeColor="background1" w:themeShade="BF" w:sz="5" w:space="0"/>
          <w:insideV w:val="single" w:color="BFBFBF" w:themeColor="background1" w:themeShade="BF" w:sz="5" w:space="0"/>
        </w:tblBorders>
        <w:tblLayout w:type="fixed"/>
        <w:tblLook w:val="0020" w:firstRow="1" w:lastRow="0" w:firstColumn="0" w:lastColumn="0" w:noHBand="0" w:noVBand="0"/>
      </w:tblPr>
      <w:tblGrid>
        <w:gridCol w:w="1946"/>
        <w:gridCol w:w="890"/>
        <w:gridCol w:w="1417"/>
        <w:gridCol w:w="1417"/>
        <w:gridCol w:w="1417"/>
        <w:gridCol w:w="1417"/>
      </w:tblGrid>
      <w:tr w:rsidR="00914FAA" w:rsidTr="06910F8B" w14:paraId="18E325EE" w14:textId="77777777">
        <w:trPr>
          <w:cantSplit/>
          <w:tblHeader/>
        </w:trPr>
        <w:tc>
          <w:tcPr>
            <w:tcW w:w="1946" w:type="dxa"/>
            <w:shd w:val="clear" w:color="auto" w:fill="ED7D31"/>
            <w:tcMar>
              <w:top w:w="70" w:type="dxa"/>
              <w:left w:w="70" w:type="dxa"/>
              <w:bottom w:w="70" w:type="dxa"/>
              <w:right w:w="70" w:type="dxa"/>
            </w:tcMar>
            <w:vAlign w:val="center"/>
          </w:tcPr>
          <w:p w:rsidR="00914FAA" w:rsidP="06910F8B" w:rsidRDefault="000E7DA8" w14:paraId="4F8A7CAC"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Modelo</w:t>
            </w:r>
          </w:p>
        </w:tc>
        <w:tc>
          <w:tcPr>
            <w:tcW w:w="890" w:type="dxa"/>
            <w:shd w:val="clear" w:color="auto" w:fill="ED7D31"/>
            <w:tcMar>
              <w:top w:w="70" w:type="dxa"/>
              <w:left w:w="70" w:type="dxa"/>
              <w:bottom w:w="70" w:type="dxa"/>
              <w:right w:w="70" w:type="dxa"/>
            </w:tcMar>
            <w:vAlign w:val="center"/>
          </w:tcPr>
          <w:p w:rsidR="00914FAA" w:rsidP="06910F8B" w:rsidRDefault="000E7DA8" w14:paraId="0EDDB445"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n</w:t>
            </w:r>
          </w:p>
        </w:tc>
        <w:tc>
          <w:tcPr>
            <w:tcW w:w="1417" w:type="dxa"/>
            <w:shd w:val="clear" w:color="auto" w:fill="ED7D31"/>
            <w:tcMar>
              <w:top w:w="70" w:type="dxa"/>
              <w:left w:w="70" w:type="dxa"/>
              <w:bottom w:w="70" w:type="dxa"/>
              <w:right w:w="70" w:type="dxa"/>
            </w:tcMar>
            <w:vAlign w:val="center"/>
          </w:tcPr>
          <w:p w:rsidR="00914FAA" w:rsidP="06910F8B" w:rsidRDefault="000E7DA8" w14:paraId="6A59701D"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Dice medio</w:t>
            </w:r>
          </w:p>
        </w:tc>
        <w:tc>
          <w:tcPr>
            <w:tcW w:w="1417" w:type="dxa"/>
            <w:shd w:val="clear" w:color="auto" w:fill="ED7D31"/>
            <w:tcMar>
              <w:top w:w="70" w:type="dxa"/>
              <w:left w:w="70" w:type="dxa"/>
              <w:bottom w:w="70" w:type="dxa"/>
              <w:right w:w="70" w:type="dxa"/>
            </w:tcMar>
            <w:vAlign w:val="center"/>
          </w:tcPr>
          <w:p w:rsidR="00914FAA" w:rsidP="06910F8B" w:rsidRDefault="000E7DA8" w14:paraId="042EF975"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ET</w:t>
            </w:r>
          </w:p>
        </w:tc>
        <w:tc>
          <w:tcPr>
            <w:tcW w:w="1417" w:type="dxa"/>
            <w:shd w:val="clear" w:color="auto" w:fill="ED7D31"/>
            <w:tcMar>
              <w:top w:w="70" w:type="dxa"/>
              <w:left w:w="70" w:type="dxa"/>
              <w:bottom w:w="70" w:type="dxa"/>
              <w:right w:w="70" w:type="dxa"/>
            </w:tcMar>
            <w:vAlign w:val="center"/>
          </w:tcPr>
          <w:p w:rsidR="00914FAA" w:rsidP="06910F8B" w:rsidRDefault="000E7DA8" w14:paraId="1924A6B8"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TC</w:t>
            </w:r>
          </w:p>
        </w:tc>
        <w:tc>
          <w:tcPr>
            <w:tcW w:w="1417" w:type="dxa"/>
            <w:shd w:val="clear" w:color="auto" w:fill="ED7D31"/>
            <w:tcMar>
              <w:top w:w="70" w:type="dxa"/>
              <w:left w:w="70" w:type="dxa"/>
              <w:bottom w:w="70" w:type="dxa"/>
              <w:right w:w="70" w:type="dxa"/>
            </w:tcMar>
            <w:vAlign w:val="center"/>
          </w:tcPr>
          <w:p w:rsidR="00914FAA" w:rsidP="06910F8B" w:rsidRDefault="000E7DA8" w14:paraId="2E1C9093"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WT</w:t>
            </w:r>
          </w:p>
        </w:tc>
      </w:tr>
      <w:tr w:rsidR="00914FAA" w:rsidTr="06910F8B" w14:paraId="05F7568A" w14:textId="77777777">
        <w:trPr>
          <w:cantSplit/>
        </w:trPr>
        <w:tc>
          <w:tcPr>
            <w:tcW w:w="1946" w:type="dxa"/>
            <w:shd w:val="clear" w:color="auto" w:fill="FFFFFF" w:themeFill="background1"/>
            <w:tcMar>
              <w:top w:w="70" w:type="dxa"/>
              <w:left w:w="70" w:type="dxa"/>
              <w:bottom w:w="70" w:type="dxa"/>
              <w:right w:w="70" w:type="dxa"/>
            </w:tcMar>
            <w:vAlign w:val="center"/>
          </w:tcPr>
          <w:p w:rsidR="00914FAA" w:rsidP="06910F8B" w:rsidRDefault="000E7DA8" w14:paraId="5D32DCB9"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nnU-Net 3d_fullres, fold 0</w:t>
            </w:r>
          </w:p>
        </w:tc>
        <w:tc>
          <w:tcPr>
            <w:tcW w:w="890" w:type="dxa"/>
            <w:shd w:val="clear" w:color="auto" w:fill="FFFFFF" w:themeFill="background1"/>
            <w:tcMar>
              <w:top w:w="70" w:type="dxa"/>
              <w:left w:w="70" w:type="dxa"/>
              <w:bottom w:w="70" w:type="dxa"/>
              <w:right w:w="70" w:type="dxa"/>
            </w:tcMar>
            <w:vAlign w:val="center"/>
          </w:tcPr>
          <w:p w:rsidR="00914FAA" w:rsidP="06910F8B" w:rsidRDefault="000E7DA8" w14:paraId="034A8711"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5D2C5331"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0,829</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08806B9A"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0,713</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41ACB389"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0,864</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19705847"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0,911</w:t>
            </w:r>
          </w:p>
        </w:tc>
      </w:tr>
      <w:tr w:rsidR="00914FAA" w:rsidTr="06910F8B" w14:paraId="32EF0121" w14:textId="77777777">
        <w:trPr>
          <w:cantSplit/>
        </w:trPr>
        <w:tc>
          <w:tcPr>
            <w:tcW w:w="1946" w:type="dxa"/>
            <w:shd w:val="clear" w:color="auto" w:fill="FCE4D6"/>
            <w:tcMar>
              <w:top w:w="70" w:type="dxa"/>
              <w:left w:w="70" w:type="dxa"/>
              <w:bottom w:w="70" w:type="dxa"/>
              <w:right w:w="70" w:type="dxa"/>
            </w:tcMar>
            <w:vAlign w:val="center"/>
          </w:tcPr>
          <w:p w:rsidR="00914FAA" w:rsidP="06910F8B" w:rsidRDefault="000E7DA8" w14:paraId="7CBFAF3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Swin-UNETR</w:t>
            </w:r>
          </w:p>
        </w:tc>
        <w:tc>
          <w:tcPr>
            <w:tcW w:w="890" w:type="dxa"/>
            <w:shd w:val="clear" w:color="auto" w:fill="FCE4D6"/>
            <w:tcMar>
              <w:top w:w="70" w:type="dxa"/>
              <w:left w:w="70" w:type="dxa"/>
              <w:bottom w:w="70" w:type="dxa"/>
              <w:right w:w="70" w:type="dxa"/>
            </w:tcMar>
            <w:vAlign w:val="center"/>
          </w:tcPr>
          <w:p w:rsidR="00914FAA" w:rsidP="06910F8B" w:rsidRDefault="000E7DA8" w14:paraId="60B0DA71"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3</w:t>
            </w:r>
          </w:p>
        </w:tc>
        <w:tc>
          <w:tcPr>
            <w:tcW w:w="1417" w:type="dxa"/>
            <w:shd w:val="clear" w:color="auto" w:fill="FCE4D6"/>
            <w:tcMar>
              <w:top w:w="70" w:type="dxa"/>
              <w:left w:w="70" w:type="dxa"/>
              <w:bottom w:w="70" w:type="dxa"/>
              <w:right w:w="70" w:type="dxa"/>
            </w:tcMar>
            <w:vAlign w:val="center"/>
          </w:tcPr>
          <w:p w:rsidR="00914FAA" w:rsidP="06910F8B" w:rsidRDefault="000E7DA8" w14:paraId="7BB913C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0,752 ± 0,017</w:t>
            </w:r>
          </w:p>
        </w:tc>
        <w:tc>
          <w:tcPr>
            <w:tcW w:w="1417" w:type="dxa"/>
            <w:shd w:val="clear" w:color="auto" w:fill="FCE4D6"/>
            <w:tcMar>
              <w:top w:w="70" w:type="dxa"/>
              <w:left w:w="70" w:type="dxa"/>
              <w:bottom w:w="70" w:type="dxa"/>
              <w:right w:w="70" w:type="dxa"/>
            </w:tcMar>
            <w:vAlign w:val="center"/>
          </w:tcPr>
          <w:p w:rsidR="00914FAA" w:rsidP="06910F8B" w:rsidRDefault="000E7DA8" w14:paraId="0638239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0,624 ± 0,011</w:t>
            </w:r>
          </w:p>
        </w:tc>
        <w:tc>
          <w:tcPr>
            <w:tcW w:w="1417" w:type="dxa"/>
            <w:shd w:val="clear" w:color="auto" w:fill="FCE4D6"/>
            <w:tcMar>
              <w:top w:w="70" w:type="dxa"/>
              <w:left w:w="70" w:type="dxa"/>
              <w:bottom w:w="70" w:type="dxa"/>
              <w:right w:w="70" w:type="dxa"/>
            </w:tcMar>
            <w:vAlign w:val="center"/>
          </w:tcPr>
          <w:p w:rsidR="00914FAA" w:rsidP="06910F8B" w:rsidRDefault="000E7DA8" w14:paraId="32B931B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0,774 ± 0,020</w:t>
            </w:r>
          </w:p>
        </w:tc>
        <w:tc>
          <w:tcPr>
            <w:tcW w:w="1417" w:type="dxa"/>
            <w:shd w:val="clear" w:color="auto" w:fill="FCE4D6"/>
            <w:tcMar>
              <w:top w:w="70" w:type="dxa"/>
              <w:left w:w="70" w:type="dxa"/>
              <w:bottom w:w="70" w:type="dxa"/>
              <w:right w:w="70" w:type="dxa"/>
            </w:tcMar>
            <w:vAlign w:val="center"/>
          </w:tcPr>
          <w:p w:rsidR="00914FAA" w:rsidP="06910F8B" w:rsidRDefault="000E7DA8" w14:paraId="05B6051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0,857 ± 0,019</w:t>
            </w:r>
          </w:p>
        </w:tc>
      </w:tr>
      <w:tr w:rsidR="00914FAA" w:rsidTr="06910F8B" w14:paraId="7C063A7A" w14:textId="77777777">
        <w:trPr>
          <w:cantSplit/>
        </w:trPr>
        <w:tc>
          <w:tcPr>
            <w:tcW w:w="1946" w:type="dxa"/>
            <w:shd w:val="clear" w:color="auto" w:fill="FFFFFF" w:themeFill="background1"/>
            <w:tcMar>
              <w:top w:w="70" w:type="dxa"/>
              <w:left w:w="70" w:type="dxa"/>
              <w:bottom w:w="70" w:type="dxa"/>
              <w:right w:w="70" w:type="dxa"/>
            </w:tcMar>
            <w:vAlign w:val="center"/>
          </w:tcPr>
          <w:p w:rsidR="00914FAA" w:rsidP="06910F8B" w:rsidRDefault="000E7DA8" w14:paraId="160B0F6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Attention U-Net 3D</w:t>
            </w:r>
          </w:p>
        </w:tc>
        <w:tc>
          <w:tcPr>
            <w:tcW w:w="890" w:type="dxa"/>
            <w:shd w:val="clear" w:color="auto" w:fill="FFFFFF" w:themeFill="background1"/>
            <w:tcMar>
              <w:top w:w="70" w:type="dxa"/>
              <w:left w:w="70" w:type="dxa"/>
              <w:bottom w:w="70" w:type="dxa"/>
              <w:right w:w="70" w:type="dxa"/>
            </w:tcMar>
            <w:vAlign w:val="center"/>
          </w:tcPr>
          <w:p w:rsidR="00914FAA" w:rsidP="06910F8B" w:rsidRDefault="000E7DA8" w14:paraId="415BAA87"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3</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74A9E66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0,735 ± 0,006</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34F8730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0,572 ± 0,013</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3A60BDC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0,770 ± 0,003</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2C5CB7D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0,861 ± 0,002</w:t>
            </w:r>
          </w:p>
        </w:tc>
      </w:tr>
      <w:tr w:rsidR="00914FAA" w:rsidTr="06910F8B" w14:paraId="08C6C4DF" w14:textId="77777777">
        <w:trPr>
          <w:cantSplit/>
        </w:trPr>
        <w:tc>
          <w:tcPr>
            <w:tcW w:w="1946" w:type="dxa"/>
            <w:shd w:val="clear" w:color="auto" w:fill="FCE4D6"/>
            <w:tcMar>
              <w:top w:w="70" w:type="dxa"/>
              <w:left w:w="70" w:type="dxa"/>
              <w:bottom w:w="70" w:type="dxa"/>
              <w:right w:w="70" w:type="dxa"/>
            </w:tcMar>
            <w:vAlign w:val="center"/>
          </w:tcPr>
          <w:p w:rsidR="00914FAA" w:rsidP="06910F8B" w:rsidRDefault="000E7DA8" w14:paraId="15FE461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concatenación</w:t>
            </w:r>
          </w:p>
        </w:tc>
        <w:tc>
          <w:tcPr>
            <w:tcW w:w="890" w:type="dxa"/>
            <w:shd w:val="clear" w:color="auto" w:fill="FCE4D6"/>
            <w:tcMar>
              <w:top w:w="70" w:type="dxa"/>
              <w:left w:w="70" w:type="dxa"/>
              <w:bottom w:w="70" w:type="dxa"/>
              <w:right w:w="70" w:type="dxa"/>
            </w:tcMar>
            <w:vAlign w:val="center"/>
          </w:tcPr>
          <w:p w:rsidR="00914FAA" w:rsidP="06910F8B" w:rsidRDefault="000E7DA8" w14:paraId="56D2DBCE"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3</w:t>
            </w:r>
          </w:p>
        </w:tc>
        <w:tc>
          <w:tcPr>
            <w:tcW w:w="1417" w:type="dxa"/>
            <w:shd w:val="clear" w:color="auto" w:fill="FCE4D6"/>
            <w:tcMar>
              <w:top w:w="70" w:type="dxa"/>
              <w:left w:w="70" w:type="dxa"/>
              <w:bottom w:w="70" w:type="dxa"/>
              <w:right w:w="70" w:type="dxa"/>
            </w:tcMar>
            <w:vAlign w:val="center"/>
          </w:tcPr>
          <w:p w:rsidR="00914FAA" w:rsidP="06910F8B" w:rsidRDefault="000E7DA8" w14:paraId="724761A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0,706 ± 0,005</w:t>
            </w:r>
          </w:p>
        </w:tc>
        <w:tc>
          <w:tcPr>
            <w:tcW w:w="1417" w:type="dxa"/>
            <w:shd w:val="clear" w:color="auto" w:fill="FCE4D6"/>
            <w:tcMar>
              <w:top w:w="70" w:type="dxa"/>
              <w:left w:w="70" w:type="dxa"/>
              <w:bottom w:w="70" w:type="dxa"/>
              <w:right w:w="70" w:type="dxa"/>
            </w:tcMar>
            <w:vAlign w:val="center"/>
          </w:tcPr>
          <w:p w:rsidR="00914FAA" w:rsidP="06910F8B" w:rsidRDefault="000E7DA8" w14:paraId="377AFCA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0,548 ± 0,009</w:t>
            </w:r>
          </w:p>
        </w:tc>
        <w:tc>
          <w:tcPr>
            <w:tcW w:w="1417" w:type="dxa"/>
            <w:shd w:val="clear" w:color="auto" w:fill="FCE4D6"/>
            <w:tcMar>
              <w:top w:w="70" w:type="dxa"/>
              <w:left w:w="70" w:type="dxa"/>
              <w:bottom w:w="70" w:type="dxa"/>
              <w:right w:w="70" w:type="dxa"/>
            </w:tcMar>
            <w:vAlign w:val="center"/>
          </w:tcPr>
          <w:p w:rsidR="00914FAA" w:rsidP="06910F8B" w:rsidRDefault="000E7DA8" w14:paraId="043B14D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0,729 ± 0,010</w:t>
            </w:r>
          </w:p>
        </w:tc>
        <w:tc>
          <w:tcPr>
            <w:tcW w:w="1417" w:type="dxa"/>
            <w:shd w:val="clear" w:color="auto" w:fill="FCE4D6"/>
            <w:tcMar>
              <w:top w:w="70" w:type="dxa"/>
              <w:left w:w="70" w:type="dxa"/>
              <w:bottom w:w="70" w:type="dxa"/>
              <w:right w:w="70" w:type="dxa"/>
            </w:tcMar>
            <w:vAlign w:val="center"/>
          </w:tcPr>
          <w:p w:rsidR="00914FAA" w:rsidP="06910F8B" w:rsidRDefault="000E7DA8" w14:paraId="699B603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0,841 ± 0,004</w:t>
            </w:r>
          </w:p>
        </w:tc>
      </w:tr>
      <w:tr w:rsidR="00914FAA" w:rsidTr="06910F8B" w14:paraId="2218FBED" w14:textId="77777777">
        <w:trPr>
          <w:cantSplit/>
        </w:trPr>
        <w:tc>
          <w:tcPr>
            <w:tcW w:w="1946" w:type="dxa"/>
            <w:shd w:val="clear" w:color="auto" w:fill="FFFFFF" w:themeFill="background1"/>
            <w:tcMar>
              <w:top w:w="70" w:type="dxa"/>
              <w:left w:w="70" w:type="dxa"/>
              <w:bottom w:w="70" w:type="dxa"/>
              <w:right w:w="70" w:type="dxa"/>
            </w:tcMar>
            <w:vAlign w:val="center"/>
          </w:tcPr>
          <w:p w:rsidR="00914FAA" w:rsidP="06910F8B" w:rsidRDefault="000E7DA8" w14:paraId="4C7B5CE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ponderación global</w:t>
            </w:r>
          </w:p>
        </w:tc>
        <w:tc>
          <w:tcPr>
            <w:tcW w:w="890" w:type="dxa"/>
            <w:shd w:val="clear" w:color="auto" w:fill="FFFFFF" w:themeFill="background1"/>
            <w:tcMar>
              <w:top w:w="70" w:type="dxa"/>
              <w:left w:w="70" w:type="dxa"/>
              <w:bottom w:w="70" w:type="dxa"/>
              <w:right w:w="70" w:type="dxa"/>
            </w:tcMar>
            <w:vAlign w:val="center"/>
          </w:tcPr>
          <w:p w:rsidR="00914FAA" w:rsidP="06910F8B" w:rsidRDefault="000E7DA8" w14:paraId="33A7E51B"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3</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4B0D18D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0,706 ± 0,006</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507E0C3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0,550 ± 0,013</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0EA7E20B"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0,727 ± 0,009</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599772B9"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0,840 ± 0,004</w:t>
            </w:r>
          </w:p>
        </w:tc>
      </w:tr>
      <w:tr w:rsidR="00914FAA" w:rsidTr="06910F8B" w14:paraId="6828818B" w14:textId="77777777">
        <w:trPr>
          <w:cantSplit/>
        </w:trPr>
        <w:tc>
          <w:tcPr>
            <w:tcW w:w="1946" w:type="dxa"/>
            <w:shd w:val="clear" w:color="auto" w:fill="FCE4D6"/>
            <w:tcMar>
              <w:top w:w="70" w:type="dxa"/>
              <w:left w:w="70" w:type="dxa"/>
              <w:bottom w:w="70" w:type="dxa"/>
              <w:right w:w="70" w:type="dxa"/>
            </w:tcMar>
            <w:vAlign w:val="center"/>
          </w:tcPr>
          <w:p w:rsidR="00914FAA" w:rsidP="06910F8B" w:rsidRDefault="000E7DA8" w14:paraId="338568F9"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compuerta adaptativa</w:t>
            </w:r>
          </w:p>
        </w:tc>
        <w:tc>
          <w:tcPr>
            <w:tcW w:w="890" w:type="dxa"/>
            <w:shd w:val="clear" w:color="auto" w:fill="FCE4D6"/>
            <w:tcMar>
              <w:top w:w="70" w:type="dxa"/>
              <w:left w:w="70" w:type="dxa"/>
              <w:bottom w:w="70" w:type="dxa"/>
              <w:right w:w="70" w:type="dxa"/>
            </w:tcMar>
            <w:vAlign w:val="center"/>
          </w:tcPr>
          <w:p w:rsidR="00914FAA" w:rsidP="06910F8B" w:rsidRDefault="000E7DA8" w14:paraId="2018E2F0" w14:textId="77777777">
            <w:pPr>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3</w:t>
            </w:r>
          </w:p>
        </w:tc>
        <w:tc>
          <w:tcPr>
            <w:tcW w:w="1417" w:type="dxa"/>
            <w:shd w:val="clear" w:color="auto" w:fill="FCE4D6"/>
            <w:tcMar>
              <w:top w:w="70" w:type="dxa"/>
              <w:left w:w="70" w:type="dxa"/>
              <w:bottom w:w="70" w:type="dxa"/>
              <w:right w:w="70" w:type="dxa"/>
            </w:tcMar>
            <w:vAlign w:val="center"/>
          </w:tcPr>
          <w:p w:rsidR="00914FAA" w:rsidP="06910F8B" w:rsidRDefault="000E7DA8" w14:paraId="75C6D9C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0,586 ± 0,169</w:t>
            </w:r>
          </w:p>
        </w:tc>
        <w:tc>
          <w:tcPr>
            <w:tcW w:w="1417" w:type="dxa"/>
            <w:shd w:val="clear" w:color="auto" w:fill="FCE4D6"/>
            <w:tcMar>
              <w:top w:w="70" w:type="dxa"/>
              <w:left w:w="70" w:type="dxa"/>
              <w:bottom w:w="70" w:type="dxa"/>
              <w:right w:w="70" w:type="dxa"/>
            </w:tcMar>
            <w:vAlign w:val="center"/>
          </w:tcPr>
          <w:p w:rsidR="00914FAA" w:rsidP="06910F8B" w:rsidRDefault="000E7DA8" w14:paraId="689E1AF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0,404 ± 0,200</w:t>
            </w:r>
          </w:p>
        </w:tc>
        <w:tc>
          <w:tcPr>
            <w:tcW w:w="1417" w:type="dxa"/>
            <w:shd w:val="clear" w:color="auto" w:fill="FCE4D6"/>
            <w:tcMar>
              <w:top w:w="70" w:type="dxa"/>
              <w:left w:w="70" w:type="dxa"/>
              <w:bottom w:w="70" w:type="dxa"/>
              <w:right w:w="70" w:type="dxa"/>
            </w:tcMar>
            <w:vAlign w:val="center"/>
          </w:tcPr>
          <w:p w:rsidR="00914FAA" w:rsidP="06910F8B" w:rsidRDefault="000E7DA8" w14:paraId="147D1D8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0,585 ± 0,205</w:t>
            </w:r>
          </w:p>
        </w:tc>
        <w:tc>
          <w:tcPr>
            <w:tcW w:w="1417" w:type="dxa"/>
            <w:shd w:val="clear" w:color="auto" w:fill="FCE4D6"/>
            <w:tcMar>
              <w:top w:w="70" w:type="dxa"/>
              <w:left w:w="70" w:type="dxa"/>
              <w:bottom w:w="70" w:type="dxa"/>
              <w:right w:w="70" w:type="dxa"/>
            </w:tcMar>
            <w:vAlign w:val="center"/>
          </w:tcPr>
          <w:p w:rsidR="00914FAA" w:rsidP="06910F8B" w:rsidRDefault="000E7DA8" w14:paraId="1EE23C1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0,770 ± 0,102</w:t>
            </w:r>
          </w:p>
        </w:tc>
      </w:tr>
      <w:tr w:rsidR="00914FAA" w:rsidTr="06910F8B" w14:paraId="266A344D" w14:textId="77777777">
        <w:trPr>
          <w:cantSplit/>
        </w:trPr>
        <w:tc>
          <w:tcPr>
            <w:tcW w:w="1946" w:type="dxa"/>
            <w:shd w:val="clear" w:color="auto" w:fill="FFFFFF" w:themeFill="background1"/>
            <w:tcMar>
              <w:top w:w="70" w:type="dxa"/>
              <w:left w:w="70" w:type="dxa"/>
              <w:bottom w:w="70" w:type="dxa"/>
              <w:right w:w="70" w:type="dxa"/>
            </w:tcMar>
            <w:vAlign w:val="center"/>
          </w:tcPr>
          <w:p w:rsidR="00914FAA" w:rsidP="06910F8B" w:rsidRDefault="000E7DA8" w14:paraId="74FE9200"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compuerta media+desv.</w:t>
            </w:r>
          </w:p>
        </w:tc>
        <w:tc>
          <w:tcPr>
            <w:tcW w:w="890" w:type="dxa"/>
            <w:shd w:val="clear" w:color="auto" w:fill="FFFFFF" w:themeFill="background1"/>
            <w:tcMar>
              <w:top w:w="70" w:type="dxa"/>
              <w:left w:w="70" w:type="dxa"/>
              <w:bottom w:w="70" w:type="dxa"/>
              <w:right w:w="70" w:type="dxa"/>
            </w:tcMar>
            <w:vAlign w:val="center"/>
          </w:tcPr>
          <w:p w:rsidR="00914FAA" w:rsidP="06910F8B" w:rsidRDefault="000E7DA8" w14:paraId="65340867" w14:textId="77777777">
            <w:pPr>
              <w:keepNext w:val="1"/>
              <w:spacing w:after="0" w:line="240" w:lineRule="auto"/>
              <w:jc w:val="center"/>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3</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183341BE"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0,592 ± 0,171</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016DE633"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0,419 ± 0,211</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7024F3A3"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0,591 ± 0,209</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54A3AE80"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0,765 ± 0,095</w:t>
            </w:r>
          </w:p>
        </w:tc>
      </w:tr>
    </w:tbl>
    <w:p w:rsidR="00914FAA" w:rsidRDefault="000E7DA8" w14:paraId="5365329B" w14:textId="77777777">
      <w:pPr>
        <w:pStyle w:val="Descripcin"/>
        <w:keepLines/>
      </w:pPr>
      <w:bookmarkStart w:name="_Toc235507371" w:id="131"/>
      <w:r>
        <w:rPr>
          <w:b/>
        </w:rPr>
        <w:t xml:space="preserve">Tabla </w:t>
      </w:r>
      <w:r>
        <w:fldChar w:fldCharType="begin"/>
      </w:r>
      <w:r>
        <w:instrText xml:space="preserve"> SEQ Tabla \* ARABIC </w:instrText>
      </w:r>
      <w:r>
        <w:fldChar w:fldCharType="separate"/>
      </w:r>
      <w:r>
        <w:rPr>
          <w:b/>
        </w:rPr>
        <w:t>13</w:t>
      </w:r>
      <w:r>
        <w:fldChar w:fldCharType="end"/>
      </w:r>
      <w:r>
        <w:rPr>
          <w:b/>
        </w:rPr>
        <w:t xml:space="preserve">. </w:t>
      </w:r>
      <w:r>
        <w:t>Coeficiente Dice en la partición de evaluación. Para las configuraciones con tres semillas se presenta media ± desviación estándar poblacional.</w:t>
      </w:r>
      <w:bookmarkEnd w:id="131"/>
    </w:p>
    <w:p w:rsidR="00914FAA" w:rsidRDefault="000E7DA8" w14:paraId="6C534CD5" w14:textId="77777777">
      <w:commentRangeStart w:id="51"/>
      <w:r>
        <w:t xml:space="preserve">nnU-Net alcanza el mayor Dice medio observado, con 0,829. Este resultado se utiliza como referencia contextual fuerte, no como una ablación controlada de arquitectura. nnU-Net empleó su propio preprocesamiento, aumento de datos, función de pérdida, optimizador y planificación, además de un </w:t>
      </w:r>
      <w:r>
        <w:rPr>
          <w:i/>
          <w:iCs/>
        </w:rPr>
        <w:t>checkpoint</w:t>
      </w:r>
      <w:r>
        <w:t xml:space="preserve"> seleccionado mediante su </w:t>
      </w:r>
      <w:r>
        <w:rPr>
          <w:i/>
          <w:iCs/>
        </w:rPr>
        <w:t>fold</w:t>
      </w:r>
      <w:r>
        <w:t xml:space="preserve"> interno. Solo se ejecutó una corrida, por lo que tampoco es posible estimar su variabilidad entre semillas.</w:t>
      </w:r>
      <w:commentRangeEnd w:id="51"/>
      <w:r>
        <w:rPr>
          <w:rStyle w:val="CommentReference"/>
        </w:rPr>
        <w:commentReference w:id="51"/>
      </w:r>
    </w:p>
    <w:p w:rsidR="00914FAA" w:rsidRDefault="000E7DA8" w14:paraId="52B77021" w14:textId="77777777">
      <w:r>
        <w:t>Swin-UNETR alcanza el mayor Dice medio entre las configuraciones MONAI, con 0,752 ± 0,017, seguido de Attention U-Net con 0,735 ± 0,006. Ambos modelos compartieron el protocolo A100, lo que permite una comparación descriptiva más directa. Swin-UNETR obtuvo una media superior en dos semillas, mientras que Attention U-Net alcanzó el mejor resultado en la semilla 20260528. Attention U-Net presentó además una dispersión menor entre repeticiones. Con tres semillas puede describirse esta ordenación, pero no establecer una superioridad estadística.</w:t>
      </w:r>
    </w:p>
    <w:p w:rsidR="00914FAA" w:rsidRDefault="000E7DA8" w14:paraId="6255796E" w14:textId="77777777">
      <w:r>
        <w:t>La principal diferencia regional entre ambos modelos aparece en el Dice agregado de ET: 0,624 para Swin-UNETR y 0,572 para Attention U-Net. ET está presente en 182 de los 243 estudios y ausente en los 61 restantes. Al restringir el cálculo a los estudios con ET presente, los resultados se aproximan: alrededor de 0,735 para Swin-UNETR y 0,731 para Attention U-Net. Por tanto, una parte importante de la diferencia agregada procede de la detección correcta de la ausencia de ET y no exclusivamente de una mayor precisión del contorno cuando la región está presente.</w:t>
      </w:r>
    </w:p>
    <w:p w:rsidR="00914FAA" w:rsidRDefault="000E7DA8" w14:paraId="042049D4" w14:textId="77777777">
      <w:r>
        <w:t>La comparación global con las Residual U-Net debe mantenerse en el plano contextual. Aunque los modelos MONAI compartieron el mismo presupuesto de entrenamiento, las configuraciones ejecutadas localmente utilizaron un solapamiento de ventana de 0,25 y las ejecutadas en A100 utilizaron 0,50. La tabla permite describir los resultados obtenidos por cada configuración, pero no atribuir toda la diferencia observada exclusivamente a la arquitectura.</w:t>
      </w:r>
    </w:p>
    <w:p w:rsidR="00914FAA" w:rsidRDefault="000E7DA8" w14:paraId="65BD0DD3" w14:textId="77777777">
      <w:r>
        <w:t>La Tabla 14 muestra HD95. Para las configuraciones con tres semillas, cada celda contiene la media y la desviación estándar de los tres promedios por corrida. Entre corchetes se indica el intervalo del número de estudios con HD95 finito. En nnU-Net se presenta el denominador de su única corrida.</w:t>
      </w:r>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126"/>
        <w:gridCol w:w="2126"/>
        <w:gridCol w:w="2126"/>
        <w:gridCol w:w="2126"/>
      </w:tblGrid>
      <w:tr w:rsidR="00914FAA" w:rsidTr="06910F8B" w14:paraId="48342442" w14:textId="77777777">
        <w:trPr>
          <w:cantSplit/>
          <w:tblHeader/>
          <w:jc w:val="center"/>
        </w:trPr>
        <w:tc>
          <w:tcPr>
            <w:tcW w:w="2126" w:type="dxa"/>
            <w:shd w:val="clear" w:color="auto" w:fill="ED7D31"/>
            <w:tcMar>
              <w:top w:w="70" w:type="dxa"/>
              <w:left w:w="70" w:type="dxa"/>
              <w:bottom w:w="70" w:type="dxa"/>
              <w:right w:w="70" w:type="dxa"/>
            </w:tcMar>
            <w:vAlign w:val="center"/>
          </w:tcPr>
          <w:p w:rsidR="00914FAA" w:rsidP="06910F8B" w:rsidRDefault="000E7DA8" w14:paraId="20C84041"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Modelo</w:t>
            </w:r>
          </w:p>
        </w:tc>
        <w:tc>
          <w:tcPr>
            <w:tcW w:w="2126" w:type="dxa"/>
            <w:shd w:val="clear" w:color="auto" w:fill="ED7D31"/>
            <w:tcMar>
              <w:top w:w="70" w:type="dxa"/>
              <w:left w:w="70" w:type="dxa"/>
              <w:bottom w:w="70" w:type="dxa"/>
              <w:right w:w="70" w:type="dxa"/>
            </w:tcMar>
            <w:vAlign w:val="center"/>
          </w:tcPr>
          <w:p w:rsidR="00914FAA" w:rsidP="06910F8B" w:rsidRDefault="000E7DA8" w14:paraId="3D55C6F8"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HD95 ET [n finitos]</w:t>
            </w:r>
          </w:p>
        </w:tc>
        <w:tc>
          <w:tcPr>
            <w:tcW w:w="2126" w:type="dxa"/>
            <w:shd w:val="clear" w:color="auto" w:fill="ED7D31"/>
            <w:tcMar>
              <w:top w:w="70" w:type="dxa"/>
              <w:left w:w="70" w:type="dxa"/>
              <w:bottom w:w="70" w:type="dxa"/>
              <w:right w:w="70" w:type="dxa"/>
            </w:tcMar>
            <w:vAlign w:val="center"/>
          </w:tcPr>
          <w:p w:rsidR="00914FAA" w:rsidP="06910F8B" w:rsidRDefault="000E7DA8" w14:paraId="1EBEEB44"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HD95 TC [n finitos]</w:t>
            </w:r>
          </w:p>
        </w:tc>
        <w:tc>
          <w:tcPr>
            <w:tcW w:w="2126" w:type="dxa"/>
            <w:shd w:val="clear" w:color="auto" w:fill="ED7D31"/>
            <w:tcMar>
              <w:top w:w="70" w:type="dxa"/>
              <w:left w:w="70" w:type="dxa"/>
              <w:bottom w:w="70" w:type="dxa"/>
              <w:right w:w="70" w:type="dxa"/>
            </w:tcMar>
            <w:vAlign w:val="center"/>
          </w:tcPr>
          <w:p w:rsidR="00914FAA" w:rsidP="06910F8B" w:rsidRDefault="000E7DA8" w14:paraId="1D545B02"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HD95 WT [n finitos]</w:t>
            </w:r>
          </w:p>
        </w:tc>
      </w:tr>
      <w:tr w:rsidR="00914FAA" w:rsidTr="06910F8B" w14:paraId="724FA8DB"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135FCB3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nnU-Net 3d_fullres, fold 0</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5D041BF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2,95 [207]</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01B23099"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3,27 [238]</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2BFF0AD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3,33 [242]</w:t>
            </w:r>
          </w:p>
        </w:tc>
      </w:tr>
      <w:tr w:rsidR="00914FAA" w:rsidTr="06910F8B" w14:paraId="031D9645" w14:textId="77777777">
        <w:trPr>
          <w:cantSplit/>
          <w:jc w:val="center"/>
        </w:trPr>
        <w:tc>
          <w:tcPr>
            <w:tcW w:w="2126" w:type="dxa"/>
            <w:shd w:val="clear" w:color="auto" w:fill="FCE4D6"/>
            <w:tcMar>
              <w:top w:w="70" w:type="dxa"/>
              <w:left w:w="70" w:type="dxa"/>
              <w:bottom w:w="70" w:type="dxa"/>
              <w:right w:w="70" w:type="dxa"/>
            </w:tcMar>
            <w:vAlign w:val="center"/>
          </w:tcPr>
          <w:p w:rsidR="00914FAA" w:rsidP="06910F8B" w:rsidRDefault="000E7DA8" w14:paraId="750DC6B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Swin-UNETR</w:t>
            </w:r>
          </w:p>
        </w:tc>
        <w:tc>
          <w:tcPr>
            <w:tcW w:w="2126" w:type="dxa"/>
            <w:shd w:val="clear" w:color="auto" w:fill="FCE4D6"/>
            <w:tcMar>
              <w:top w:w="70" w:type="dxa"/>
              <w:left w:w="70" w:type="dxa"/>
              <w:bottom w:w="70" w:type="dxa"/>
              <w:right w:w="70" w:type="dxa"/>
            </w:tcMar>
            <w:vAlign w:val="center"/>
          </w:tcPr>
          <w:p w:rsidR="00914FAA" w:rsidP="06910F8B" w:rsidRDefault="000E7DA8" w14:paraId="2C8DC07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5,76 ± 0,34 [197–201]</w:t>
            </w:r>
          </w:p>
        </w:tc>
        <w:tc>
          <w:tcPr>
            <w:tcW w:w="2126" w:type="dxa"/>
            <w:shd w:val="clear" w:color="auto" w:fill="FCE4D6"/>
            <w:tcMar>
              <w:top w:w="70" w:type="dxa"/>
              <w:left w:w="70" w:type="dxa"/>
              <w:bottom w:w="70" w:type="dxa"/>
              <w:right w:w="70" w:type="dxa"/>
            </w:tcMar>
            <w:vAlign w:val="center"/>
          </w:tcPr>
          <w:p w:rsidR="00914FAA" w:rsidP="06910F8B" w:rsidRDefault="000E7DA8" w14:paraId="551C4DB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7,26 ± 1,14 [236–238]</w:t>
            </w:r>
          </w:p>
        </w:tc>
        <w:tc>
          <w:tcPr>
            <w:tcW w:w="2126" w:type="dxa"/>
            <w:shd w:val="clear" w:color="auto" w:fill="FCE4D6"/>
            <w:tcMar>
              <w:top w:w="70" w:type="dxa"/>
              <w:left w:w="70" w:type="dxa"/>
              <w:bottom w:w="70" w:type="dxa"/>
              <w:right w:w="70" w:type="dxa"/>
            </w:tcMar>
            <w:vAlign w:val="center"/>
          </w:tcPr>
          <w:p w:rsidR="00914FAA" w:rsidP="06910F8B" w:rsidRDefault="000E7DA8" w14:paraId="39DD8AAB"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7,60 ± 1,00 [242–243]</w:t>
            </w:r>
          </w:p>
        </w:tc>
      </w:tr>
      <w:tr w:rsidR="00914FAA" w:rsidTr="06910F8B" w14:paraId="35971F4B"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211A87D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Attention U-Net 3D</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11DB2F56"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8,31 ± 0,45 [186–191]</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20B3BF0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8,93 ± 0,70 [236–237]</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2AB324C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7,88 ± 0,52 [243]</w:t>
            </w:r>
          </w:p>
        </w:tc>
      </w:tr>
      <w:tr w:rsidR="00914FAA" w:rsidTr="06910F8B" w14:paraId="15288407" w14:textId="77777777">
        <w:trPr>
          <w:cantSplit/>
          <w:jc w:val="center"/>
        </w:trPr>
        <w:tc>
          <w:tcPr>
            <w:tcW w:w="2126" w:type="dxa"/>
            <w:shd w:val="clear" w:color="auto" w:fill="FCE4D6"/>
            <w:tcMar>
              <w:top w:w="70" w:type="dxa"/>
              <w:left w:w="70" w:type="dxa"/>
              <w:bottom w:w="70" w:type="dxa"/>
              <w:right w:w="70" w:type="dxa"/>
            </w:tcMar>
            <w:vAlign w:val="center"/>
          </w:tcPr>
          <w:p w:rsidR="00914FAA" w:rsidP="06910F8B" w:rsidRDefault="000E7DA8" w14:paraId="019845C9"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concatenación</w:t>
            </w:r>
          </w:p>
        </w:tc>
        <w:tc>
          <w:tcPr>
            <w:tcW w:w="2126" w:type="dxa"/>
            <w:shd w:val="clear" w:color="auto" w:fill="FCE4D6"/>
            <w:tcMar>
              <w:top w:w="70" w:type="dxa"/>
              <w:left w:w="70" w:type="dxa"/>
              <w:bottom w:w="70" w:type="dxa"/>
              <w:right w:w="70" w:type="dxa"/>
            </w:tcMar>
            <w:vAlign w:val="center"/>
          </w:tcPr>
          <w:p w:rsidR="00914FAA" w:rsidP="06910F8B" w:rsidRDefault="000E7DA8" w14:paraId="49B9D2B6"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8,75 ± 1,05 [192–194]</w:t>
            </w:r>
          </w:p>
        </w:tc>
        <w:tc>
          <w:tcPr>
            <w:tcW w:w="2126" w:type="dxa"/>
            <w:shd w:val="clear" w:color="auto" w:fill="FCE4D6"/>
            <w:tcMar>
              <w:top w:w="70" w:type="dxa"/>
              <w:left w:w="70" w:type="dxa"/>
              <w:bottom w:w="70" w:type="dxa"/>
              <w:right w:w="70" w:type="dxa"/>
            </w:tcMar>
            <w:vAlign w:val="center"/>
          </w:tcPr>
          <w:p w:rsidR="00914FAA" w:rsidP="06910F8B" w:rsidRDefault="000E7DA8" w14:paraId="78D56DC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11,00 ± 1,37 [237–239]</w:t>
            </w:r>
          </w:p>
        </w:tc>
        <w:tc>
          <w:tcPr>
            <w:tcW w:w="2126" w:type="dxa"/>
            <w:shd w:val="clear" w:color="auto" w:fill="FCE4D6"/>
            <w:tcMar>
              <w:top w:w="70" w:type="dxa"/>
              <w:left w:w="70" w:type="dxa"/>
              <w:bottom w:w="70" w:type="dxa"/>
              <w:right w:w="70" w:type="dxa"/>
            </w:tcMar>
            <w:vAlign w:val="center"/>
          </w:tcPr>
          <w:p w:rsidR="00914FAA" w:rsidP="06910F8B" w:rsidRDefault="000E7DA8" w14:paraId="2EE1528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10,28 ± 0,58 [243]</w:t>
            </w:r>
          </w:p>
        </w:tc>
      </w:tr>
      <w:tr w:rsidR="00914FAA" w:rsidTr="06910F8B" w14:paraId="6AF74A06"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4E5DB8BD"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ponderación global</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7C850D56"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8,90 ± 0,80 [193–194]</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175DA4E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11,30 ± 0,86 [236–238]</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7E8C647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10,66 ± 0,16 [243]</w:t>
            </w:r>
          </w:p>
        </w:tc>
      </w:tr>
      <w:tr w:rsidR="00914FAA" w:rsidTr="06910F8B" w14:paraId="555E8402" w14:textId="77777777">
        <w:trPr>
          <w:cantSplit/>
          <w:jc w:val="center"/>
        </w:trPr>
        <w:tc>
          <w:tcPr>
            <w:tcW w:w="2126" w:type="dxa"/>
            <w:shd w:val="clear" w:color="auto" w:fill="FCE4D6"/>
            <w:tcMar>
              <w:top w:w="70" w:type="dxa"/>
              <w:left w:w="70" w:type="dxa"/>
              <w:bottom w:w="70" w:type="dxa"/>
              <w:right w:w="70" w:type="dxa"/>
            </w:tcMar>
            <w:vAlign w:val="center"/>
          </w:tcPr>
          <w:p w:rsidR="00914FAA" w:rsidP="06910F8B" w:rsidRDefault="000E7DA8" w14:paraId="2BDFC0E4"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compuerta adaptativa</w:t>
            </w:r>
          </w:p>
        </w:tc>
        <w:tc>
          <w:tcPr>
            <w:tcW w:w="2126" w:type="dxa"/>
            <w:shd w:val="clear" w:color="auto" w:fill="FCE4D6"/>
            <w:tcMar>
              <w:top w:w="70" w:type="dxa"/>
              <w:left w:w="70" w:type="dxa"/>
              <w:bottom w:w="70" w:type="dxa"/>
              <w:right w:w="70" w:type="dxa"/>
            </w:tcMar>
            <w:vAlign w:val="center"/>
          </w:tcPr>
          <w:p w:rsidR="00914FAA" w:rsidP="06910F8B" w:rsidRDefault="000E7DA8" w14:paraId="41F7B64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23,83 ± 20,03 [182–195]</w:t>
            </w:r>
          </w:p>
        </w:tc>
        <w:tc>
          <w:tcPr>
            <w:tcW w:w="2126" w:type="dxa"/>
            <w:shd w:val="clear" w:color="auto" w:fill="FCE4D6"/>
            <w:tcMar>
              <w:top w:w="70" w:type="dxa"/>
              <w:left w:w="70" w:type="dxa"/>
              <w:bottom w:w="70" w:type="dxa"/>
              <w:right w:w="70" w:type="dxa"/>
            </w:tcMar>
            <w:vAlign w:val="center"/>
          </w:tcPr>
          <w:p w:rsidR="00914FAA" w:rsidP="06910F8B" w:rsidRDefault="000E7DA8" w14:paraId="5718BE9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24,52 ± 18,25 [237–238]</w:t>
            </w:r>
          </w:p>
        </w:tc>
        <w:tc>
          <w:tcPr>
            <w:tcW w:w="2126" w:type="dxa"/>
            <w:shd w:val="clear" w:color="auto" w:fill="FCE4D6"/>
            <w:tcMar>
              <w:top w:w="70" w:type="dxa"/>
              <w:left w:w="70" w:type="dxa"/>
              <w:bottom w:w="70" w:type="dxa"/>
              <w:right w:w="70" w:type="dxa"/>
            </w:tcMar>
            <w:vAlign w:val="center"/>
          </w:tcPr>
          <w:p w:rsidR="00914FAA" w:rsidP="06910F8B" w:rsidRDefault="000E7DA8" w14:paraId="6B55CB2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17,17 ± 9,46 [243]</w:t>
            </w:r>
          </w:p>
        </w:tc>
      </w:tr>
      <w:tr w:rsidR="00914FAA" w:rsidTr="06910F8B" w14:paraId="479462C9" w14:textId="77777777">
        <w:trPr>
          <w:cantSplit/>
          <w:jc w:val="center"/>
        </w:trPr>
        <w:tc>
          <w:tcPr>
            <w:tcW w:w="2126" w:type="dxa"/>
            <w:shd w:val="clear" w:color="auto" w:fill="FFFFFF" w:themeFill="background1"/>
            <w:tcMar>
              <w:top w:w="70" w:type="dxa"/>
              <w:left w:w="70" w:type="dxa"/>
              <w:bottom w:w="70" w:type="dxa"/>
              <w:right w:w="70" w:type="dxa"/>
            </w:tcMar>
            <w:vAlign w:val="center"/>
          </w:tcPr>
          <w:p w:rsidR="00914FAA" w:rsidP="06910F8B" w:rsidRDefault="000E7DA8" w14:paraId="25FB2475"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compuerta media+desv.</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2EB26D47"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22,85 ± 20,98 [182–195]</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0E170F4B"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23,62 ± 19,52 [237–239]</w:t>
            </w:r>
          </w:p>
        </w:tc>
        <w:tc>
          <w:tcPr>
            <w:tcW w:w="2126" w:type="dxa"/>
            <w:shd w:val="clear" w:color="auto" w:fill="FFFFFF" w:themeFill="background1"/>
            <w:tcMar>
              <w:top w:w="70" w:type="dxa"/>
              <w:left w:w="70" w:type="dxa"/>
              <w:bottom w:w="70" w:type="dxa"/>
              <w:right w:w="70" w:type="dxa"/>
            </w:tcMar>
            <w:vAlign w:val="center"/>
          </w:tcPr>
          <w:p w:rsidR="00914FAA" w:rsidP="06910F8B" w:rsidRDefault="000E7DA8" w14:paraId="25B26333"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17,78 ± 10,77 [243]</w:t>
            </w:r>
          </w:p>
        </w:tc>
      </w:tr>
    </w:tbl>
    <w:p w:rsidR="00914FAA" w:rsidRDefault="000E7DA8" w14:paraId="229E88E5" w14:textId="77777777">
      <w:pPr>
        <w:pStyle w:val="Descripcin"/>
        <w:keepLines/>
      </w:pPr>
      <w:bookmarkStart w:name="_Toc235507372" w:id="132"/>
      <w:r>
        <w:rPr>
          <w:b/>
        </w:rPr>
        <w:t xml:space="preserve">Tabla </w:t>
      </w:r>
      <w:r>
        <w:fldChar w:fldCharType="begin"/>
      </w:r>
      <w:r>
        <w:instrText xml:space="preserve"> SEQ Tabla \* ARABIC </w:instrText>
      </w:r>
      <w:r>
        <w:fldChar w:fldCharType="separate"/>
      </w:r>
      <w:r>
        <w:rPr>
          <w:b/>
        </w:rPr>
        <w:t>14</w:t>
      </w:r>
      <w:r>
        <w:fldChar w:fldCharType="end"/>
      </w:r>
      <w:r>
        <w:rPr>
          <w:b/>
        </w:rPr>
        <w:t xml:space="preserve">. </w:t>
      </w:r>
      <w:r>
        <w:t>HD95 en milímetros y número de estudios con valor finito. Un valor menor indica menor discrepancia de superficie entre los casos incluidos en el promedio.</w:t>
      </w:r>
      <w:bookmarkEnd w:id="132"/>
    </w:p>
    <w:p w:rsidR="00914FAA" w:rsidRDefault="000E7DA8" w14:paraId="36F684CC" w14:textId="77777777">
      <w:r>
        <w:t>La ordenación descriptiva de HD95 es compatible, en términos generales, con la observada en Dice. nnU-Net presenta los valores más bajos y Swin-UNETR los menores entre las configuraciones MONAI. Las variantes adaptativas muestran medias y desviaciones mayores debido principalmente a sus corridas de bajo rendimiento.</w:t>
      </w:r>
    </w:p>
    <w:p w:rsidR="00914FAA" w:rsidRDefault="000E7DA8" w14:paraId="2A514427" w14:textId="77777777">
      <w:commentRangeStart w:id="52"/>
      <w:r w:rsidR="6A5F4401">
        <w:rPr/>
        <w:t>Estos valores no deben interpretarse de forma aislada. El promedio incluye los casos en los que predicción y referencia están ambas vacías, con HD95 igual a cero, pero excluye los casos en los que solo una de ellas está vacía. Por esta razón, una cifra inferior puede depender tanto de la precisión de las superficies como de los casos que han quedado fuera del agregado.</w:t>
      </w:r>
      <w:commentRangeEnd w:id="52"/>
      <w:r>
        <w:rPr>
          <w:rStyle w:val="CommentReference"/>
        </w:rPr>
        <w:commentReference w:id="52"/>
      </w:r>
    </w:p>
    <w:p w:rsidR="06910F8B" w:rsidRDefault="06910F8B" w14:paraId="041EE406" w14:textId="55F198C3"/>
    <w:p w:rsidR="00914FAA" w:rsidRDefault="000E7DA8" w14:paraId="0AB04EEF" w14:textId="77777777">
      <w:pPr>
        <w:pStyle w:val="Ttulo2"/>
      </w:pPr>
      <w:bookmarkStart w:name="_Toc1992036306" w:id="133"/>
      <w:bookmarkStart w:name="huella-computacional-1" w:id="134"/>
      <w:bookmarkEnd w:id="127"/>
      <w:r>
        <w:t>5.4. Huella computacional</w:t>
      </w:r>
      <w:bookmarkEnd w:id="133"/>
    </w:p>
    <w:p w:rsidR="00914FAA" w:rsidRDefault="000E7DA8" w14:paraId="28D0D43C" w14:textId="77777777">
      <w:r>
        <w:t>La Tabla 15 resume el número exacto de parámetros y los tiempos de entrenamiento conservados en los registros finales. En las configuraciones MONAI, los tiempos representan duración de pared hasta la última validación. Debido a las diferencias entre MPS, CUDA y el protocolo propio de nnU-Net, no se emplean para establecer una ordenación general de eficiencia entre arquitecturas.</w:t>
      </w:r>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1418"/>
        <w:gridCol w:w="1418"/>
        <w:gridCol w:w="1417"/>
        <w:gridCol w:w="1417"/>
        <w:gridCol w:w="1417"/>
        <w:gridCol w:w="1417"/>
      </w:tblGrid>
      <w:tr w:rsidR="00914FAA" w:rsidTr="06910F8B" w14:paraId="61FA21F3" w14:textId="77777777">
        <w:trPr>
          <w:cantSplit/>
          <w:tblHeader/>
          <w:jc w:val="center"/>
        </w:trPr>
        <w:tc>
          <w:tcPr>
            <w:tcW w:w="1417" w:type="dxa"/>
            <w:shd w:val="clear" w:color="auto" w:fill="ED7D31"/>
            <w:tcMar>
              <w:top w:w="70" w:type="dxa"/>
              <w:left w:w="70" w:type="dxa"/>
              <w:bottom w:w="70" w:type="dxa"/>
              <w:right w:w="70" w:type="dxa"/>
            </w:tcMar>
            <w:vAlign w:val="center"/>
          </w:tcPr>
          <w:p w:rsidR="00914FAA" w:rsidP="06910F8B" w:rsidRDefault="000E7DA8" w14:paraId="6E6AB81E"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Modelo o configuración</w:t>
            </w:r>
          </w:p>
        </w:tc>
        <w:tc>
          <w:tcPr>
            <w:tcW w:w="1417" w:type="dxa"/>
            <w:shd w:val="clear" w:color="auto" w:fill="ED7D31"/>
            <w:tcMar>
              <w:top w:w="70" w:type="dxa"/>
              <w:left w:w="70" w:type="dxa"/>
              <w:bottom w:w="70" w:type="dxa"/>
              <w:right w:w="70" w:type="dxa"/>
            </w:tcMar>
            <w:vAlign w:val="center"/>
          </w:tcPr>
          <w:p w:rsidR="00914FAA" w:rsidP="06910F8B" w:rsidRDefault="000E7DA8" w14:paraId="0F264B31"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Parámetros</w:t>
            </w:r>
          </w:p>
        </w:tc>
        <w:tc>
          <w:tcPr>
            <w:tcW w:w="1417" w:type="dxa"/>
            <w:shd w:val="clear" w:color="auto" w:fill="ED7D31"/>
            <w:tcMar>
              <w:top w:w="70" w:type="dxa"/>
              <w:left w:w="70" w:type="dxa"/>
              <w:bottom w:w="70" w:type="dxa"/>
              <w:right w:w="70" w:type="dxa"/>
            </w:tcMar>
            <w:vAlign w:val="center"/>
          </w:tcPr>
          <w:p w:rsidR="00914FAA" w:rsidP="06910F8B" w:rsidRDefault="000E7DA8" w14:paraId="4B1F46AE"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Incremento</w:t>
            </w:r>
          </w:p>
        </w:tc>
        <w:tc>
          <w:tcPr>
            <w:tcW w:w="1417" w:type="dxa"/>
            <w:shd w:val="clear" w:color="auto" w:fill="ED7D31"/>
            <w:tcMar>
              <w:top w:w="70" w:type="dxa"/>
              <w:left w:w="70" w:type="dxa"/>
              <w:bottom w:w="70" w:type="dxa"/>
              <w:right w:w="70" w:type="dxa"/>
            </w:tcMar>
            <w:vAlign w:val="center"/>
          </w:tcPr>
          <w:p w:rsidR="00914FAA" w:rsidP="06910F8B" w:rsidRDefault="000E7DA8" w14:paraId="09E75DAD"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Entorno</w:t>
            </w:r>
          </w:p>
        </w:tc>
        <w:tc>
          <w:tcPr>
            <w:tcW w:w="1417" w:type="dxa"/>
            <w:shd w:val="clear" w:color="auto" w:fill="ED7D31"/>
            <w:tcMar>
              <w:top w:w="70" w:type="dxa"/>
              <w:left w:w="70" w:type="dxa"/>
              <w:bottom w:w="70" w:type="dxa"/>
              <w:right w:w="70" w:type="dxa"/>
            </w:tcMar>
            <w:vAlign w:val="center"/>
          </w:tcPr>
          <w:p w:rsidR="00914FAA" w:rsidP="06910F8B" w:rsidRDefault="000E7DA8" w14:paraId="0C016EDF"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Tiempo por corrida</w:t>
            </w:r>
          </w:p>
        </w:tc>
        <w:tc>
          <w:tcPr>
            <w:tcW w:w="1417" w:type="dxa"/>
            <w:shd w:val="clear" w:color="auto" w:fill="ED7D31"/>
            <w:tcMar>
              <w:top w:w="70" w:type="dxa"/>
              <w:left w:w="70" w:type="dxa"/>
              <w:bottom w:w="70" w:type="dxa"/>
              <w:right w:w="70" w:type="dxa"/>
            </w:tcMar>
            <w:vAlign w:val="center"/>
          </w:tcPr>
          <w:p w:rsidR="00914FAA" w:rsidP="06910F8B" w:rsidRDefault="000E7DA8" w14:paraId="2E071D41"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Memoria máxima registrada</w:t>
            </w:r>
          </w:p>
        </w:tc>
      </w:tr>
      <w:tr w:rsidR="00914FAA" w:rsidTr="06910F8B" w14:paraId="3EB7E533" w14:textId="77777777">
        <w:trPr>
          <w:cantSplit/>
          <w:jc w:val="center"/>
        </w:trPr>
        <w:tc>
          <w:tcPr>
            <w:tcW w:w="1417" w:type="dxa"/>
            <w:shd w:val="clear" w:color="auto" w:fill="FFFFFF" w:themeFill="background1"/>
            <w:tcMar>
              <w:top w:w="70" w:type="dxa"/>
              <w:left w:w="70" w:type="dxa"/>
              <w:bottom w:w="70" w:type="dxa"/>
              <w:right w:w="70" w:type="dxa"/>
            </w:tcMar>
            <w:vAlign w:val="center"/>
          </w:tcPr>
          <w:p w:rsidR="00914FAA" w:rsidP="06910F8B" w:rsidRDefault="000E7DA8" w14:paraId="53F5513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concatenación</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0539F1C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1.190.358</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1AFCC1E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6DA84CC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M4 Pro (MPS)</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6C966A86"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4,99–5,00 h</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618176D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No registrada</w:t>
            </w:r>
          </w:p>
        </w:tc>
      </w:tr>
      <w:tr w:rsidR="00914FAA" w:rsidTr="06910F8B" w14:paraId="7A2AD415" w14:textId="77777777">
        <w:trPr>
          <w:cantSplit/>
          <w:jc w:val="center"/>
        </w:trPr>
        <w:tc>
          <w:tcPr>
            <w:tcW w:w="1417" w:type="dxa"/>
            <w:shd w:val="clear" w:color="auto" w:fill="FCE4D6"/>
            <w:tcMar>
              <w:top w:w="70" w:type="dxa"/>
              <w:left w:w="70" w:type="dxa"/>
              <w:bottom w:w="70" w:type="dxa"/>
              <w:right w:w="70" w:type="dxa"/>
            </w:tcMar>
            <w:vAlign w:val="center"/>
          </w:tcPr>
          <w:p w:rsidR="00914FAA" w:rsidP="06910F8B" w:rsidRDefault="000E7DA8" w14:paraId="2FE0B4FD"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ponderación global</w:t>
            </w:r>
          </w:p>
        </w:tc>
        <w:tc>
          <w:tcPr>
            <w:tcW w:w="1417" w:type="dxa"/>
            <w:shd w:val="clear" w:color="auto" w:fill="FCE4D6"/>
            <w:tcMar>
              <w:top w:w="70" w:type="dxa"/>
              <w:left w:w="70" w:type="dxa"/>
              <w:bottom w:w="70" w:type="dxa"/>
              <w:right w:w="70" w:type="dxa"/>
            </w:tcMar>
            <w:vAlign w:val="center"/>
          </w:tcPr>
          <w:p w:rsidR="00914FAA" w:rsidP="06910F8B" w:rsidRDefault="000E7DA8" w14:paraId="5A8C111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1.190.362</w:t>
            </w:r>
          </w:p>
        </w:tc>
        <w:tc>
          <w:tcPr>
            <w:tcW w:w="1417" w:type="dxa"/>
            <w:shd w:val="clear" w:color="auto" w:fill="FCE4D6"/>
            <w:tcMar>
              <w:top w:w="70" w:type="dxa"/>
              <w:left w:w="70" w:type="dxa"/>
              <w:bottom w:w="70" w:type="dxa"/>
              <w:right w:w="70" w:type="dxa"/>
            </w:tcMar>
            <w:vAlign w:val="center"/>
          </w:tcPr>
          <w:p w:rsidR="00914FAA" w:rsidP="06910F8B" w:rsidRDefault="000E7DA8" w14:paraId="4A79A97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+4</w:t>
            </w:r>
          </w:p>
        </w:tc>
        <w:tc>
          <w:tcPr>
            <w:tcW w:w="1417" w:type="dxa"/>
            <w:shd w:val="clear" w:color="auto" w:fill="FCE4D6"/>
            <w:tcMar>
              <w:top w:w="70" w:type="dxa"/>
              <w:left w:w="70" w:type="dxa"/>
              <w:bottom w:w="70" w:type="dxa"/>
              <w:right w:w="70" w:type="dxa"/>
            </w:tcMar>
            <w:vAlign w:val="center"/>
          </w:tcPr>
          <w:p w:rsidR="00914FAA" w:rsidP="06910F8B" w:rsidRDefault="000E7DA8" w14:paraId="386797A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M4 Pro (MPS)</w:t>
            </w:r>
          </w:p>
        </w:tc>
        <w:tc>
          <w:tcPr>
            <w:tcW w:w="1417" w:type="dxa"/>
            <w:shd w:val="clear" w:color="auto" w:fill="FCE4D6"/>
            <w:tcMar>
              <w:top w:w="70" w:type="dxa"/>
              <w:left w:w="70" w:type="dxa"/>
              <w:bottom w:w="70" w:type="dxa"/>
              <w:right w:w="70" w:type="dxa"/>
            </w:tcMar>
            <w:vAlign w:val="center"/>
          </w:tcPr>
          <w:p w:rsidR="00914FAA" w:rsidP="06910F8B" w:rsidRDefault="000E7DA8" w14:paraId="7931651D"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5,65–5,81 h</w:t>
            </w:r>
          </w:p>
        </w:tc>
        <w:tc>
          <w:tcPr>
            <w:tcW w:w="1417" w:type="dxa"/>
            <w:shd w:val="clear" w:color="auto" w:fill="FCE4D6"/>
            <w:tcMar>
              <w:top w:w="70" w:type="dxa"/>
              <w:left w:w="70" w:type="dxa"/>
              <w:bottom w:w="70" w:type="dxa"/>
              <w:right w:w="70" w:type="dxa"/>
            </w:tcMar>
            <w:vAlign w:val="center"/>
          </w:tcPr>
          <w:p w:rsidR="00914FAA" w:rsidP="06910F8B" w:rsidRDefault="000E7DA8" w14:paraId="7700F10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No registrada</w:t>
            </w:r>
          </w:p>
        </w:tc>
      </w:tr>
      <w:tr w:rsidR="00914FAA" w:rsidTr="06910F8B" w14:paraId="1268D311" w14:textId="77777777">
        <w:trPr>
          <w:cantSplit/>
          <w:jc w:val="center"/>
        </w:trPr>
        <w:tc>
          <w:tcPr>
            <w:tcW w:w="1417" w:type="dxa"/>
            <w:shd w:val="clear" w:color="auto" w:fill="FFFFFF" w:themeFill="background1"/>
            <w:tcMar>
              <w:top w:w="70" w:type="dxa"/>
              <w:left w:w="70" w:type="dxa"/>
              <w:bottom w:w="70" w:type="dxa"/>
              <w:right w:w="70" w:type="dxa"/>
            </w:tcMar>
            <w:vAlign w:val="center"/>
          </w:tcPr>
          <w:p w:rsidR="00914FAA" w:rsidP="06910F8B" w:rsidRDefault="000E7DA8" w14:paraId="58171B4B"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compuerta adaptativa</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097EFB3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1.190.434</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6778473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+76</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0C50175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M4 Pro (MPS)</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779B433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5,67–6,02 h</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1A6E3EB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No registrada</w:t>
            </w:r>
          </w:p>
        </w:tc>
      </w:tr>
      <w:tr w:rsidR="00914FAA" w:rsidTr="06910F8B" w14:paraId="56F81382" w14:textId="77777777">
        <w:trPr>
          <w:cantSplit/>
          <w:jc w:val="center"/>
        </w:trPr>
        <w:tc>
          <w:tcPr>
            <w:tcW w:w="1417" w:type="dxa"/>
            <w:shd w:val="clear" w:color="auto" w:fill="FCE4D6"/>
            <w:tcMar>
              <w:top w:w="70" w:type="dxa"/>
              <w:left w:w="70" w:type="dxa"/>
              <w:bottom w:w="70" w:type="dxa"/>
              <w:right w:w="70" w:type="dxa"/>
            </w:tcMar>
            <w:vAlign w:val="center"/>
          </w:tcPr>
          <w:p w:rsidR="00914FAA" w:rsidP="06910F8B" w:rsidRDefault="000E7DA8" w14:paraId="5A75EBD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Residual U-Net + compuerta media+desv.</w:t>
            </w:r>
          </w:p>
        </w:tc>
        <w:tc>
          <w:tcPr>
            <w:tcW w:w="1417" w:type="dxa"/>
            <w:shd w:val="clear" w:color="auto" w:fill="FCE4D6"/>
            <w:tcMar>
              <w:top w:w="70" w:type="dxa"/>
              <w:left w:w="70" w:type="dxa"/>
              <w:bottom w:w="70" w:type="dxa"/>
              <w:right w:w="70" w:type="dxa"/>
            </w:tcMar>
            <w:vAlign w:val="center"/>
          </w:tcPr>
          <w:p w:rsidR="00914FAA" w:rsidP="06910F8B" w:rsidRDefault="000E7DA8" w14:paraId="78E4BD6A"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1.190.466</w:t>
            </w:r>
          </w:p>
        </w:tc>
        <w:tc>
          <w:tcPr>
            <w:tcW w:w="1417" w:type="dxa"/>
            <w:shd w:val="clear" w:color="auto" w:fill="FCE4D6"/>
            <w:tcMar>
              <w:top w:w="70" w:type="dxa"/>
              <w:left w:w="70" w:type="dxa"/>
              <w:bottom w:w="70" w:type="dxa"/>
              <w:right w:w="70" w:type="dxa"/>
            </w:tcMar>
            <w:vAlign w:val="center"/>
          </w:tcPr>
          <w:p w:rsidR="00914FAA" w:rsidP="06910F8B" w:rsidRDefault="000E7DA8" w14:paraId="7A437B7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+108</w:t>
            </w:r>
          </w:p>
        </w:tc>
        <w:tc>
          <w:tcPr>
            <w:tcW w:w="1417" w:type="dxa"/>
            <w:shd w:val="clear" w:color="auto" w:fill="FCE4D6"/>
            <w:tcMar>
              <w:top w:w="70" w:type="dxa"/>
              <w:left w:w="70" w:type="dxa"/>
              <w:bottom w:w="70" w:type="dxa"/>
              <w:right w:w="70" w:type="dxa"/>
            </w:tcMar>
            <w:vAlign w:val="center"/>
          </w:tcPr>
          <w:p w:rsidR="00914FAA" w:rsidP="06910F8B" w:rsidRDefault="000E7DA8" w14:paraId="09E3D30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M4 Pro (MPS)</w:t>
            </w:r>
          </w:p>
        </w:tc>
        <w:tc>
          <w:tcPr>
            <w:tcW w:w="1417" w:type="dxa"/>
            <w:shd w:val="clear" w:color="auto" w:fill="FCE4D6"/>
            <w:tcMar>
              <w:top w:w="70" w:type="dxa"/>
              <w:left w:w="70" w:type="dxa"/>
              <w:bottom w:w="70" w:type="dxa"/>
              <w:right w:w="70" w:type="dxa"/>
            </w:tcMar>
            <w:vAlign w:val="center"/>
          </w:tcPr>
          <w:p w:rsidR="00914FAA" w:rsidP="06910F8B" w:rsidRDefault="000E7DA8" w14:paraId="04229A5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5,79–5,88 h</w:t>
            </w:r>
          </w:p>
        </w:tc>
        <w:tc>
          <w:tcPr>
            <w:tcW w:w="1417" w:type="dxa"/>
            <w:shd w:val="clear" w:color="auto" w:fill="FCE4D6"/>
            <w:tcMar>
              <w:top w:w="70" w:type="dxa"/>
              <w:left w:w="70" w:type="dxa"/>
              <w:bottom w:w="70" w:type="dxa"/>
              <w:right w:w="70" w:type="dxa"/>
            </w:tcMar>
            <w:vAlign w:val="center"/>
          </w:tcPr>
          <w:p w:rsidR="00914FAA" w:rsidP="06910F8B" w:rsidRDefault="000E7DA8" w14:paraId="3E86DDC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No registrada</w:t>
            </w:r>
          </w:p>
        </w:tc>
      </w:tr>
      <w:tr w:rsidR="00914FAA" w:rsidTr="06910F8B" w14:paraId="58DF774B" w14:textId="77777777">
        <w:trPr>
          <w:cantSplit/>
          <w:jc w:val="center"/>
        </w:trPr>
        <w:tc>
          <w:tcPr>
            <w:tcW w:w="1417" w:type="dxa"/>
            <w:shd w:val="clear" w:color="auto" w:fill="FFFFFF" w:themeFill="background1"/>
            <w:tcMar>
              <w:top w:w="70" w:type="dxa"/>
              <w:left w:w="70" w:type="dxa"/>
              <w:bottom w:w="70" w:type="dxa"/>
              <w:right w:w="70" w:type="dxa"/>
            </w:tcMar>
            <w:vAlign w:val="center"/>
          </w:tcPr>
          <w:p w:rsidR="00914FAA" w:rsidP="06910F8B" w:rsidRDefault="000E7DA8" w14:paraId="06113CB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Attention U-Net 3D</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5E5408A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5.910.443</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58DDFC3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572281C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A100 (CUDA)</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61D8C1E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2,14 h*</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539366E6"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6,52 GiB*</w:t>
            </w:r>
          </w:p>
        </w:tc>
      </w:tr>
      <w:tr w:rsidR="00914FAA" w:rsidTr="06910F8B" w14:paraId="7ABBA628" w14:textId="77777777">
        <w:trPr>
          <w:cantSplit/>
          <w:jc w:val="center"/>
        </w:trPr>
        <w:tc>
          <w:tcPr>
            <w:tcW w:w="1417" w:type="dxa"/>
            <w:shd w:val="clear" w:color="auto" w:fill="FCE4D6"/>
            <w:tcMar>
              <w:top w:w="70" w:type="dxa"/>
              <w:left w:w="70" w:type="dxa"/>
              <w:bottom w:w="70" w:type="dxa"/>
              <w:right w:w="70" w:type="dxa"/>
            </w:tcMar>
            <w:vAlign w:val="center"/>
          </w:tcPr>
          <w:p w:rsidR="00914FAA" w:rsidP="06910F8B" w:rsidRDefault="000E7DA8" w14:paraId="0FF06E1D"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Swin-UNETR</w:t>
            </w:r>
          </w:p>
        </w:tc>
        <w:tc>
          <w:tcPr>
            <w:tcW w:w="1417" w:type="dxa"/>
            <w:shd w:val="clear" w:color="auto" w:fill="FCE4D6"/>
            <w:tcMar>
              <w:top w:w="70" w:type="dxa"/>
              <w:left w:w="70" w:type="dxa"/>
              <w:bottom w:w="70" w:type="dxa"/>
              <w:right w:w="70" w:type="dxa"/>
            </w:tcMar>
            <w:vAlign w:val="center"/>
          </w:tcPr>
          <w:p w:rsidR="00914FAA" w:rsidP="06910F8B" w:rsidRDefault="000E7DA8" w14:paraId="15BCF74D"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62.191.941</w:t>
            </w:r>
          </w:p>
        </w:tc>
        <w:tc>
          <w:tcPr>
            <w:tcW w:w="1417" w:type="dxa"/>
            <w:shd w:val="clear" w:color="auto" w:fill="FCE4D6"/>
            <w:tcMar>
              <w:top w:w="70" w:type="dxa"/>
              <w:left w:w="70" w:type="dxa"/>
              <w:bottom w:w="70" w:type="dxa"/>
              <w:right w:w="70" w:type="dxa"/>
            </w:tcMar>
            <w:vAlign w:val="center"/>
          </w:tcPr>
          <w:p w:rsidR="00914FAA" w:rsidP="06910F8B" w:rsidRDefault="000E7DA8" w14:paraId="0D67F14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w:t>
            </w:r>
          </w:p>
        </w:tc>
        <w:tc>
          <w:tcPr>
            <w:tcW w:w="1417" w:type="dxa"/>
            <w:shd w:val="clear" w:color="auto" w:fill="FCE4D6"/>
            <w:tcMar>
              <w:top w:w="70" w:type="dxa"/>
              <w:left w:w="70" w:type="dxa"/>
              <w:bottom w:w="70" w:type="dxa"/>
              <w:right w:w="70" w:type="dxa"/>
            </w:tcMar>
            <w:vAlign w:val="center"/>
          </w:tcPr>
          <w:p w:rsidR="00914FAA" w:rsidP="06910F8B" w:rsidRDefault="000E7DA8" w14:paraId="679F31DD"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A100 (CUDA)</w:t>
            </w:r>
          </w:p>
        </w:tc>
        <w:tc>
          <w:tcPr>
            <w:tcW w:w="1417" w:type="dxa"/>
            <w:shd w:val="clear" w:color="auto" w:fill="FCE4D6"/>
            <w:tcMar>
              <w:top w:w="70" w:type="dxa"/>
              <w:left w:w="70" w:type="dxa"/>
              <w:bottom w:w="70" w:type="dxa"/>
              <w:right w:w="70" w:type="dxa"/>
            </w:tcMar>
            <w:vAlign w:val="center"/>
          </w:tcPr>
          <w:p w:rsidR="00914FAA" w:rsidP="06910F8B" w:rsidRDefault="000E7DA8" w14:paraId="6148D0A9"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No registrado</w:t>
            </w:r>
          </w:p>
        </w:tc>
        <w:tc>
          <w:tcPr>
            <w:tcW w:w="1417" w:type="dxa"/>
            <w:shd w:val="clear" w:color="auto" w:fill="FCE4D6"/>
            <w:tcMar>
              <w:top w:w="70" w:type="dxa"/>
              <w:left w:w="70" w:type="dxa"/>
              <w:bottom w:w="70" w:type="dxa"/>
              <w:right w:w="70" w:type="dxa"/>
            </w:tcMar>
            <w:vAlign w:val="center"/>
          </w:tcPr>
          <w:p w:rsidR="00914FAA" w:rsidP="06910F8B" w:rsidRDefault="000E7DA8" w14:paraId="4179DA6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No registrada</w:t>
            </w:r>
          </w:p>
        </w:tc>
      </w:tr>
      <w:tr w:rsidR="00914FAA" w:rsidTr="06910F8B" w14:paraId="77171C53" w14:textId="77777777">
        <w:trPr>
          <w:cantSplit/>
          <w:jc w:val="center"/>
        </w:trPr>
        <w:tc>
          <w:tcPr>
            <w:tcW w:w="1417" w:type="dxa"/>
            <w:shd w:val="clear" w:color="auto" w:fill="FFFFFF" w:themeFill="background1"/>
            <w:tcMar>
              <w:top w:w="70" w:type="dxa"/>
              <w:left w:w="70" w:type="dxa"/>
              <w:bottom w:w="70" w:type="dxa"/>
              <w:right w:w="70" w:type="dxa"/>
            </w:tcMar>
            <w:vAlign w:val="center"/>
          </w:tcPr>
          <w:p w:rsidR="00914FAA" w:rsidP="06910F8B" w:rsidRDefault="000E7DA8" w14:paraId="0BE25474"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nnU-Net 3d_fullres</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04CEACCD"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Auto-configurado</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07C7F2F7"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1CC0B3F1"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A100 (CUDA)</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27C3DF99"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4,77 h**</w:t>
            </w:r>
          </w:p>
        </w:tc>
        <w:tc>
          <w:tcPr>
            <w:tcW w:w="1417" w:type="dxa"/>
            <w:shd w:val="clear" w:color="auto" w:fill="FFFFFF" w:themeFill="background1"/>
            <w:tcMar>
              <w:top w:w="70" w:type="dxa"/>
              <w:left w:w="70" w:type="dxa"/>
              <w:bottom w:w="70" w:type="dxa"/>
              <w:right w:w="70" w:type="dxa"/>
            </w:tcMar>
            <w:vAlign w:val="center"/>
          </w:tcPr>
          <w:p w:rsidR="00914FAA" w:rsidP="06910F8B" w:rsidRDefault="000E7DA8" w14:paraId="2065A928"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No registrada</w:t>
            </w:r>
          </w:p>
        </w:tc>
      </w:tr>
    </w:tbl>
    <w:p w:rsidR="00914FAA" w:rsidRDefault="000E7DA8" w14:paraId="4CA69037" w14:textId="77777777">
      <w:pPr>
        <w:pStyle w:val="Descripcin"/>
        <w:keepLines/>
      </w:pPr>
      <w:bookmarkStart w:name="_Toc235507373" w:id="135"/>
      <w:r>
        <w:rPr>
          <w:b/>
        </w:rPr>
        <w:t xml:space="preserve">Tabla </w:t>
      </w:r>
      <w:r>
        <w:fldChar w:fldCharType="begin"/>
      </w:r>
      <w:r>
        <w:instrText xml:space="preserve"> SEQ Tabla \* ARABIC </w:instrText>
      </w:r>
      <w:r>
        <w:fldChar w:fldCharType="separate"/>
      </w:r>
      <w:r>
        <w:rPr>
          <w:b/>
        </w:rPr>
        <w:t>15</w:t>
      </w:r>
      <w:r>
        <w:fldChar w:fldCharType="end"/>
      </w:r>
      <w:r>
        <w:rPr>
          <w:b/>
        </w:rPr>
        <w:t xml:space="preserve">. </w:t>
      </w:r>
      <w:r>
        <w:t>Parámetros, entorno y coste registrado. «No registrado» indica que el artefacto necesario no se conservó o que el mecanismo de registro no era compatible con el entorno.</w:t>
      </w:r>
      <w:bookmarkEnd w:id="135"/>
    </w:p>
    <w:p w:rsidR="00914FAA" w:rsidP="06910F8B" w:rsidRDefault="000E7DA8" w14:paraId="2CF775C2" w14:textId="77777777">
      <w:pPr>
        <w:rPr>
          <w:i w:val="1"/>
          <w:iCs w:val="1"/>
        </w:rPr>
      </w:pPr>
      <w:r w:rsidR="6A5F4401">
        <w:rPr/>
        <w:t xml:space="preserve">* </w:t>
      </w:r>
      <w:r w:rsidRPr="06910F8B" w:rsidR="6A5F4401">
        <w:rPr>
          <w:i w:val="1"/>
          <w:iCs w:val="1"/>
        </w:rPr>
        <w:t>El tiempo y la memoria de Attention U-Net corresponden únicamente a la semilla 20260528, cuyo registro fue el único conservado de las corridas A100.</w:t>
      </w:r>
    </w:p>
    <w:p w:rsidR="00914FAA" w:rsidP="06910F8B" w:rsidRDefault="000E7DA8" w14:paraId="2C6D5CE8" w14:textId="77777777">
      <w:pPr>
        <w:rPr>
          <w:i w:val="1"/>
          <w:iCs w:val="1"/>
        </w:rPr>
      </w:pPr>
      <w:r w:rsidRPr="06910F8B" w:rsidR="6A5F4401">
        <w:rPr>
          <w:i w:val="1"/>
          <w:iCs w:val="1"/>
        </w:rPr>
        <w:t xml:space="preserve">** El tiempo de nnU-Net se calculó desde el inicio de la época 0 hasta el mensaje de finalización del entrenamiento. Incluye las validaciones internas de las 250 épocas, pero no la planificación, el preprocesamiento, la validación final completa del </w:t>
      </w:r>
      <w:r w:rsidRPr="06910F8B" w:rsidR="6A5F4401">
        <w:rPr>
          <w:i w:val="1"/>
          <w:iCs w:val="1"/>
        </w:rPr>
        <w:t>fold</w:t>
      </w:r>
      <w:r w:rsidRPr="06910F8B" w:rsidR="6A5F4401">
        <w:rPr>
          <w:i w:val="1"/>
          <w:iCs w:val="1"/>
        </w:rPr>
        <w:t xml:space="preserve"> ni la inferencia sobre el conjunto de test.</w:t>
      </w:r>
    </w:p>
    <w:p w:rsidR="00914FAA" w:rsidRDefault="000E7DA8" w14:paraId="7A920A6B" w14:textId="77777777">
      <w:r>
        <w:t>Los mecanismos de fusión añaden pocos parámetros respecto a la red base: cuatro para la ponderación global, 76 para la compuerta basada en la media y 108 para la variante media+desviación. Este incremento es pequeño en relación con los aproximadamente 1,19 millones de parámetros de la Residual U-Net.</w:t>
      </w:r>
    </w:p>
    <w:p w:rsidR="00914FAA" w:rsidRDefault="000E7DA8" w14:paraId="4FA6986A" w14:textId="77777777">
      <w:commentRangeStart w:id="53"/>
      <w:r>
        <w:t>El reducido número de parámetros adicionales no implica un coste temporal nulo. En el entorno MPS, la concatenación requirió aproximadamente cinco horas por corrida, mientras que las variantes con ponderación necesitaron entre 5,65 y 6,02 horas. Estas diferencias son tiempos de pared observados y pueden incluir variaciones de carga, entrada/salida y validación, por lo que no permiten aislar con precisión el coste del bloque de fusión.</w:t>
      </w:r>
      <w:commentRangeEnd w:id="53"/>
      <w:r>
        <w:rPr>
          <w:rStyle w:val="CommentReference"/>
        </w:rPr>
        <w:commentReference w:id="53"/>
      </w:r>
    </w:p>
    <w:p w:rsidR="00914FAA" w:rsidRDefault="000E7DA8" w14:paraId="453209ED" w14:textId="77777777">
      <w:r w:rsidR="6A5F4401">
        <w:rPr/>
        <w:t>Swin-UNETR contiene aproximadamente 52 veces más parámetros que la Residual U-Net y fue entrenado en A100. Sus registros finales de tiempo y memoria no se conservaron por separado para las tres semillas, por lo que no se incluyen estimaciones indirectas. En nnU-Net pudo recuperarse una duración de 4,77 horas a partir del registro del entrenamiento, pero no una medida de memoria máxima. Tampoco se registró de forma homogénea el tiempo de inferencia. En consecuencia, el análisis computacional demuestra que las fusiones son ligeras en número de parámetros y documenta los tiempos disponibles, pero no permite comparar de forma completa la eficiencia de todas las arquitecturas.</w:t>
      </w:r>
    </w:p>
    <w:p w:rsidR="06910F8B" w:rsidRDefault="06910F8B" w14:paraId="71719E3F" w14:textId="502702C0"/>
    <w:p w:rsidR="00914FAA" w:rsidRDefault="000E7DA8" w14:paraId="2BB3A6C2" w14:textId="77777777">
      <w:pPr>
        <w:pStyle w:val="Ttulo2"/>
      </w:pPr>
      <w:bookmarkStart w:name="_Toc1727863458" w:id="136"/>
      <w:bookmarkStart w:name="análisis-cualitativo" w:id="137"/>
      <w:bookmarkEnd w:id="130"/>
      <w:r>
        <w:t>5.5. Análisis cualitativo</w:t>
      </w:r>
      <w:bookmarkEnd w:id="136"/>
    </w:p>
    <w:p w:rsidR="00914FAA" w:rsidRDefault="000E7DA8" w14:paraId="26113C44" w14:textId="77777777">
      <w:commentRangeStart w:id="54"/>
      <w:r>
        <w:t>Las métricas agregadas se complementaron mediante la inspección del estudio BraTS-GLI-02273-100. Este estudio pertenece a un sujeto no representado en entrenamiento ni validación y se seleccionó con finalidad ilustrativa: contiene las tres regiones con extensión visible y permite distinguir sus diferencias en un mismo corte. La selección favorece además un caso en el que la concatenación obtiene un resultado adecuado, por lo que no debe considerarse representativa de la distribución completa.</w:t>
      </w:r>
      <w:commentRangeEnd w:id="54"/>
      <w:r>
        <w:rPr>
          <w:rStyle w:val="CommentReference"/>
        </w:rPr>
        <w:commentReference w:id="54"/>
      </w:r>
    </w:p>
    <w:p w:rsidR="00914FAA" w:rsidRDefault="000E7DA8" w14:paraId="7E41C3BB" w14:textId="77777777">
      <w:r>
        <w:t>La Figura 3 muestra el corte axial de mayor extensión de WT. Las cuatro configuraciones reproducen la extensión principal de la lesión, aunque presentan diferencias locales en los límites y en la distribución interna de ET y TC. Estas observaciones se restringen al ejemplo mostrado y se utilizan únicamente como complemento visual de las métricas agregadas.</w:t>
      </w:r>
    </w:p>
    <w:p w:rsidR="00914FAA" w:rsidRDefault="000E7DA8" w14:paraId="3BFEE4A1" w14:textId="77777777">
      <w:pPr>
        <w:keepNext/>
        <w:spacing w:before="120" w:after="0"/>
        <w:jc w:val="center"/>
      </w:pPr>
      <w:r>
        <w:rPr>
          <w:noProof/>
        </w:rPr>
        <w:lastRenderedPageBreak/>
        <w:drawing>
          <wp:inline distT="0" distB="0" distL="0" distR="0" wp14:anchorId="59C904D9" wp14:editId="0FCBE781">
            <wp:extent cx="5400000" cy="1255135"/>
            <wp:effectExtent l="0" t="0" r="0" b="0"/>
            <wp:docPr id="4" name="Picture" descr="Comparación cualitativa de arquitecturas: referencia, nnU-Net, Swin-UNETR, Attention U-Net y Residual U-Net con concatenación." title="Comparación cualitativa de arquitecturas: referencia, nnU-Net, Swin-UNETR, Attention U-Net y Residual U-Net con concatenación."/>
            <wp:cNvGraphicFramePr/>
            <a:graphic xmlns:a="http://schemas.openxmlformats.org/drawingml/2006/main">
              <a:graphicData uri="http://schemas.openxmlformats.org/drawingml/2006/picture">
                <pic:pic xmlns:pic="http://schemas.openxmlformats.org/drawingml/2006/picture">
                  <pic:nvPicPr>
                    <pic:cNvPr id="4" name="Picture" descr="figuras/fig_comparacion_arquitecturas.png"/>
                    <pic:cNvPicPr>
                      <a:picLocks noChangeAspect="1" noChangeArrowheads="1"/>
                    </pic:cNvPicPr>
                  </pic:nvPicPr>
                  <pic:blipFill>
                    <a:blip r:embed="rId14"/>
                    <a:stretch>
                      <a:fillRect/>
                    </a:stretch>
                  </pic:blipFill>
                  <pic:spPr bwMode="auto">
                    <a:xfrm>
                      <a:off x="0" y="0"/>
                      <a:ext cx="5400000" cy="1255135"/>
                    </a:xfrm>
                    <a:prstGeom prst="rect">
                      <a:avLst/>
                    </a:prstGeom>
                    <a:noFill/>
                    <a:ln w="9525">
                      <a:noFill/>
                      <a:headEnd/>
                      <a:tailEnd/>
                    </a:ln>
                  </pic:spPr>
                </pic:pic>
              </a:graphicData>
            </a:graphic>
          </wp:inline>
        </w:drawing>
      </w:r>
    </w:p>
    <w:p w:rsidR="00914FAA" w:rsidRDefault="000E7DA8" w14:paraId="3C95CC88" w14:textId="77777777">
      <w:pPr>
        <w:pStyle w:val="Descripcin"/>
        <w:keepLines/>
      </w:pPr>
      <w:bookmarkStart w:name="_Toc235507347" w:id="138"/>
      <w:r>
        <w:rPr>
          <w:b/>
        </w:rPr>
        <w:t xml:space="preserve">Figura </w:t>
      </w:r>
      <w:r>
        <w:fldChar w:fldCharType="begin"/>
      </w:r>
      <w:r>
        <w:instrText xml:space="preserve"> SEQ Figura \* ARABIC </w:instrText>
      </w:r>
      <w:r>
        <w:fldChar w:fldCharType="separate"/>
      </w:r>
      <w:r>
        <w:rPr>
          <w:b/>
        </w:rPr>
        <w:t>3</w:t>
      </w:r>
      <w:r>
        <w:fldChar w:fldCharType="end"/>
      </w:r>
      <w:r>
        <w:rPr>
          <w:b/>
        </w:rPr>
        <w:t xml:space="preserve">. </w:t>
      </w:r>
      <w:r>
        <w:t>Comparación cualitativa sobre el estudio BraTS-GLI-02273-100, en el corte axial de mayor extensión de WT. De izquierda a derecha: referencia manual, nnU-Net, Swin-UNETR, Attention U-Net y Residual U-Net con concatenación. Las configuraciones MONAI mostradas corresponden a la semilla 20260526.</w:t>
      </w:r>
      <w:bookmarkEnd w:id="138"/>
    </w:p>
    <w:p w:rsidR="00914FAA" w:rsidRDefault="000E7DA8" w14:paraId="59D4414A" w14:textId="77777777">
      <w:r>
        <w:t>La Figura 4 compara, para el mismo estudio y corte, la concatenación de la semilla 20260526 con la compuerta adaptativa de la semilla 20260528, correspondiente a la corrida de bajo rendimiento identificada en la Tabla 12. En este ejemplo, la segunda predicción sobreestima ET y representa con menor precisión la distribución interna de las regiones. La figura ilustra el tipo de error producido por esa corrida concreta, sin utilizarse como evidencia independiente del comportamiento general de la estrategia.</w:t>
      </w:r>
    </w:p>
    <w:p w:rsidR="00914FAA" w:rsidRDefault="000E7DA8" w14:paraId="3ED9A374" w14:textId="77777777">
      <w:pPr>
        <w:keepNext/>
        <w:spacing w:before="120" w:after="0"/>
        <w:jc w:val="center"/>
      </w:pPr>
      <w:r>
        <w:rPr>
          <w:noProof/>
        </w:rPr>
        <w:drawing>
          <wp:inline distT="0" distB="0" distL="0" distR="0" wp14:anchorId="1C7CFE35" wp14:editId="0230EF87">
            <wp:extent cx="5400000" cy="2024999"/>
            <wp:effectExtent l="0" t="0" r="0" b="0"/>
            <wp:docPr id="5" name="Picture" descr="Comparación entre la concatenación y una corrida de bajo rendimiento de la compuerta adaptativa." title="Comparación entre la concatenación y una corrida de bajo rendimiento de la compuerta adaptativa."/>
            <wp:cNvGraphicFramePr/>
            <a:graphic xmlns:a="http://schemas.openxmlformats.org/drawingml/2006/main">
              <a:graphicData uri="http://schemas.openxmlformats.org/drawingml/2006/picture">
                <pic:pic xmlns:pic="http://schemas.openxmlformats.org/drawingml/2006/picture">
                  <pic:nvPicPr>
                    <pic:cNvPr id="5" name="Picture" descr="figuras/fig_colapso_adaptive_gating.png"/>
                    <pic:cNvPicPr>
                      <a:picLocks noChangeAspect="1" noChangeArrowheads="1"/>
                    </pic:cNvPicPr>
                  </pic:nvPicPr>
                  <pic:blipFill>
                    <a:blip r:embed="rId15"/>
                    <a:stretch>
                      <a:fillRect/>
                    </a:stretch>
                  </pic:blipFill>
                  <pic:spPr bwMode="auto">
                    <a:xfrm>
                      <a:off x="0" y="0"/>
                      <a:ext cx="5400000" cy="2024999"/>
                    </a:xfrm>
                    <a:prstGeom prst="rect">
                      <a:avLst/>
                    </a:prstGeom>
                    <a:noFill/>
                    <a:ln w="9525">
                      <a:noFill/>
                      <a:headEnd/>
                      <a:tailEnd/>
                    </a:ln>
                  </pic:spPr>
                </pic:pic>
              </a:graphicData>
            </a:graphic>
          </wp:inline>
        </w:drawing>
      </w:r>
    </w:p>
    <w:p w:rsidR="00914FAA" w:rsidRDefault="000E7DA8" w14:paraId="3E605E60" w14:textId="77777777">
      <w:pPr>
        <w:pStyle w:val="Descripcin"/>
        <w:keepLines w:val="1"/>
      </w:pPr>
      <w:bookmarkStart w:name="_Toc235507348" w:id="139"/>
      <w:r w:rsidRPr="06910F8B" w:rsidR="6A5F4401">
        <w:rPr>
          <w:b w:val="1"/>
          <w:bCs w:val="1"/>
        </w:rPr>
        <w:t xml:space="preserve">Figura </w:t>
      </w:r>
      <w:r>
        <w:fldChar w:fldCharType="begin"/>
      </w:r>
      <w:r>
        <w:instrText xml:space="preserve"> SEQ Figura \* ARABIC </w:instrText>
      </w:r>
      <w:r>
        <w:fldChar w:fldCharType="separate"/>
      </w:r>
      <w:r w:rsidRPr="06910F8B" w:rsidR="6A5F4401">
        <w:rPr>
          <w:b w:val="1"/>
          <w:bCs w:val="1"/>
        </w:rPr>
        <w:t>4</w:t>
      </w:r>
      <w:r>
        <w:fldChar w:fldCharType="end"/>
      </w:r>
      <w:r w:rsidRPr="06910F8B" w:rsidR="6A5F4401">
        <w:rPr>
          <w:b w:val="1"/>
          <w:bCs w:val="1"/>
        </w:rPr>
        <w:t xml:space="preserve">. </w:t>
      </w:r>
      <w:r w:rsidR="6A5F4401">
        <w:rPr/>
        <w:t>Ejemplo cualitativo de una corrida de bajo rendimiento de adaptive_gating. De izquierda a derecha: referencia manual, concatenación (semilla 20260526) y compuerta adaptativa (semilla 20260528).</w:t>
      </w:r>
      <w:bookmarkEnd w:id="139"/>
    </w:p>
    <w:p w:rsidR="06910F8B" w:rsidP="06910F8B" w:rsidRDefault="06910F8B" w14:paraId="6995EB27" w14:textId="64F9F8A1">
      <w:pPr>
        <w:pStyle w:val="Normal"/>
        <w:keepLines w:val="1"/>
      </w:pPr>
    </w:p>
    <w:p w:rsidR="00914FAA" w:rsidRDefault="000E7DA8" w14:paraId="12115C6C" w14:textId="77777777">
      <w:pPr>
        <w:pStyle w:val="Ttulo2"/>
      </w:pPr>
      <w:bookmarkStart w:name="_Toc1980952468" w:id="140"/>
      <w:bookmarkStart w:name="síntesis-de-los-resultados" w:id="141"/>
      <w:bookmarkEnd w:id="134"/>
      <w:r>
        <w:t>5.6. Síntesis de los resultados</w:t>
      </w:r>
      <w:bookmarkEnd w:id="140"/>
    </w:p>
    <w:p w:rsidR="00914FAA" w:rsidRDefault="000E7DA8" w14:paraId="3F136304" w14:textId="77777777">
      <w:commentRangeStart w:id="55"/>
      <w:r>
        <w:t>Los resultados permiten establecer las siguientes observaciones dentro del alcance del montaje experimental:</w:t>
      </w:r>
      <w:commentRangeEnd w:id="55"/>
      <w:r>
        <w:rPr>
          <w:rStyle w:val="CommentReference"/>
        </w:rPr>
        <w:commentReference w:id="55"/>
      </w:r>
    </w:p>
    <w:p w:rsidR="00914FAA" w:rsidRDefault="000E7DA8" w14:paraId="65CA6ABD" w14:textId="77777777">
      <w:pPr>
        <w:numPr>
          <w:ilvl w:val="0"/>
          <w:numId w:val="7"/>
        </w:numPr>
      </w:pPr>
      <w:r>
        <w:t>La concatenación y la ponderación global producen valores prácticamente coincidentes. Los pesos aprendidos por la ponderación global permanecen próximos a una distribución uniforme.</w:t>
      </w:r>
    </w:p>
    <w:p w:rsidR="00914FAA" w:rsidRDefault="000E7DA8" w14:paraId="216DD025" w14:textId="77777777">
      <w:pPr>
        <w:numPr>
          <w:ilvl w:val="0"/>
          <w:numId w:val="7"/>
        </w:numPr>
      </w:pPr>
      <w:r>
        <w:t>Las compuertas adaptativas no muestran una mejora consistente y presentan mayor variabilidad entre semillas debido a una corrida de bajo rendimiento en cada variante.</w:t>
      </w:r>
    </w:p>
    <w:p w:rsidR="00914FAA" w:rsidRDefault="000E7DA8" w14:paraId="0CD6DC1C" w14:textId="77777777">
      <w:pPr>
        <w:numPr>
          <w:ilvl w:val="0"/>
          <w:numId w:val="7"/>
        </w:numPr>
      </w:pPr>
      <w:r>
        <w:lastRenderedPageBreak/>
        <w:t>Los pesos de las compuertas cambian muy poco entre estudios. La variante media+desviación aumenta la información de entrada del bloque, pero la variación observada entre estudios sigue siendo muy pequeña y no se obtiene una mejora consistente.</w:t>
      </w:r>
    </w:p>
    <w:p w:rsidR="00914FAA" w:rsidRDefault="000E7DA8" w14:paraId="29C6C849" w14:textId="77777777">
      <w:pPr>
        <w:numPr>
          <w:ilvl w:val="0"/>
          <w:numId w:val="7"/>
        </w:numPr>
      </w:pPr>
      <w:r>
        <w:t>nnU-Net obtiene el mayor rendimiento numérico y actúa como referencia externa. Entre las configuraciones MONAI, Swin-UNETR alcanza el mayor Dice medio, aunque la comparación completa de arquitecturas es contextual y no una ablación causal.</w:t>
      </w:r>
    </w:p>
    <w:p w:rsidR="00914FAA" w:rsidRDefault="000E7DA8" w14:paraId="49FE4F24" w14:textId="77777777">
      <w:pPr>
        <w:numPr>
          <w:ilvl w:val="0"/>
          <w:numId w:val="7"/>
        </w:numPr>
      </w:pPr>
      <w:r>
        <w:t>Las estrategias de fusión añaden pocos parámetros. Sus tiempos de pared fueron mayores que los de la concatenación en las ejecuciones locales, aunque el diseño no permite atribuir esta diferencia exclusivamente al bloque de fusión.</w:t>
      </w:r>
    </w:p>
    <w:p w:rsidR="00914FAA" w:rsidRDefault="000E7DA8" w14:paraId="3C2F01E1" w14:textId="77777777">
      <w:r>
        <w:t>En respuesta a la pregunta de investigación, bajo las configuraciones, el presupuesto y la partición utilizados no se obtuvo evidencia de que la ponderación adaptativa ligera mejore de forma consistente la concatenación directa. Este resultado negativo delimita las condiciones en las que los mecanismos evaluados no aportaron la ventaja esperada y constituye la base de las conclusiones del Capítulo 6.</w:t>
      </w:r>
    </w:p>
    <w:p w:rsidR="00914FAA" w:rsidRDefault="000E7DA8" w14:paraId="7267DA7E" w14:textId="77777777">
      <w:pPr>
        <w:pStyle w:val="Ttulo1"/>
        <w:pageBreakBefore/>
      </w:pPr>
      <w:bookmarkStart w:name="_Toc252521608" w:id="142"/>
      <w:bookmarkStart w:name="conclusiones" w:id="143"/>
      <w:bookmarkEnd w:id="137"/>
      <w:bookmarkEnd w:id="141"/>
      <w:r>
        <w:lastRenderedPageBreak/>
        <w:t>6. Conclusiones</w:t>
      </w:r>
      <w:bookmarkEnd w:id="142"/>
    </w:p>
    <w:p w:rsidR="00914FAA" w:rsidRDefault="000E7DA8" w14:paraId="1536181A" w14:textId="77777777">
      <w:commentRangeStart w:id="56"/>
      <w:r>
        <w:t>Este capítulo sintetiza los principales resultados del trabajo, responde a la pregunta de investigación formulada en el Capítulo 1, valora el grado de cumplimiento de los objetivos y delimita el alcance de las conclusiones. Finalmente, presenta las principales limitaciones del estudio y las líneas de trabajo que se derivan de ellas.</w:t>
      </w:r>
      <w:commentRangeEnd w:id="56"/>
      <w:r>
        <w:rPr>
          <w:rStyle w:val="CommentReference"/>
        </w:rPr>
        <w:commentReference w:id="56"/>
      </w:r>
    </w:p>
    <w:p w:rsidR="00914FAA" w:rsidRDefault="000E7DA8" w14:paraId="57474887" w14:textId="77777777">
      <w:pPr>
        <w:pStyle w:val="Ttulo2"/>
      </w:pPr>
      <w:bookmarkStart w:name="_Toc1867668642" w:id="144"/>
      <w:bookmarkStart w:name="respuesta-a-la-pregunta-de-investigación" w:id="145"/>
      <w:r>
        <w:t>6.1. Respuesta a la pregunta de investigación</w:t>
      </w:r>
      <w:bookmarkEnd w:id="144"/>
    </w:p>
    <w:p w:rsidR="00914FAA" w:rsidRDefault="000E7DA8" w14:paraId="64B64DE4" w14:textId="77777777">
      <w:r>
        <w:t>La pregunta de investigación planteaba si una ponderación explícita y ligera de las modalidades T1n, T1c, T2w y FLAIR —en particular, una compuerta adaptativa condicionada por la entrada— podía mejorar de forma consistente la segmentación 3D de ET, TC y WT frente a la concatenación directa, manteniendo fija la Residual U-Net 3D y un coste computacional asumible.</w:t>
      </w:r>
    </w:p>
    <w:p w:rsidR="00914FAA" w:rsidRDefault="000E7DA8" w14:paraId="40D6FE6B" w14:textId="77777777">
      <w:r w:rsidRPr="06910F8B" w:rsidR="6A5F4401">
        <w:rPr>
          <w:b w:val="1"/>
          <w:bCs w:val="1"/>
        </w:rPr>
        <w:t>Los resultados obtenidos no aportan evidencia de una mejora consistente</w:t>
      </w:r>
      <w:r w:rsidR="6A5F4401">
        <w:rPr/>
        <w:t>. La concatenación alcanzó un Dice medio de 0,706 ± 0,005 y la ponderación global estática obtuvo 0,706 ± 0,006. La diferencia entre ambas medias fue inferior a 0,001 y cambió de signo entre semillas. Por tanto, en las ejecuciones realizadas no se observó una ventaja sistemática asociada a la ponderación global.</w:t>
      </w:r>
    </w:p>
    <w:p w:rsidR="00914FAA" w:rsidRDefault="000E7DA8" w14:paraId="12EB1981" w14:textId="77777777">
      <w:r w:rsidR="6A5F4401">
        <w:rPr/>
        <w:t xml:space="preserve">Las dos variantes adaptativas presentaron medias inferiores, de 0,586 ± 0,169 y 0,592 ± 0,171, debido principalmente a una corrida de bajo rendimiento en cada configuración. Las restantes corridas obtuvieron valores próximos a los de las estrategias no adaptativas. Con tres repeticiones por variante no es posible estimar una probabilidad general de fallo, establecer diferencias estadísticamente significativas ni determinar la causa de esas ejecuciones. </w:t>
      </w:r>
      <w:r w:rsidRPr="06910F8B" w:rsidR="6A5F4401">
        <w:rPr>
          <w:b w:val="1"/>
          <w:bCs w:val="1"/>
        </w:rPr>
        <w:t>Sí puede concluirse que, dentro del presupuesto evaluado, las variantes adaptativas mostraron una variabilidad entre semillas mayor que la concatenación y la ponderación global</w:t>
      </w:r>
      <w:r w:rsidR="6A5F4401">
        <w:rPr/>
        <w:t>.</w:t>
      </w:r>
    </w:p>
    <w:p w:rsidR="00914FAA" w:rsidRDefault="000E7DA8" w14:paraId="603E1A0A" w14:textId="77777777">
      <w:r>
        <w:t>El análisis de las compuertas aporta información adicional. Los pesos generados por cada modelo variaron muy poco entre estudios y mantuvieron una entropía elevada, próxima al máximo correspondiente a cuatro modalidades. Por tanto, no se produjo una concentración sistemática en una única modalidad. La escasa variación entre entradas es compatible con que los descriptores globales empleados proporcionaran una señal limitada para condicionar la fusión. Esta observación, sin embargo, no demuestra por sí sola la causa del bajo rendimiento de algunas ejecuciones.</w:t>
      </w:r>
    </w:p>
    <w:p w:rsidR="00914FAA" w:rsidRDefault="000E7DA8" w14:paraId="4979E9F8" w14:textId="77777777">
      <w:r>
        <w:t xml:space="preserve">Los bloques de fusión fueron ligeros en número de parámetros: añadieron entre 4 y 108 parámetros respecto a la Residual U-Net con concatenación. En las ejecuciones locales se observaron tiempos de pared superiores para las variantes ponderadas, aunque las diferencias de carga, entrada/salida y validación impiden atribuir ese incremento exclusivamente al bloque de fusión. Además, no se conservaron medidas homogéneas de memoria y tiempo de inferencia para todas las configuraciones. En consecuencia, </w:t>
      </w:r>
      <w:r>
        <w:lastRenderedPageBreak/>
        <w:t>puede afirmarse que las estrategias son ligeras desde el punto de vista paramétrico, pero no establecer una comparación completa de eficiencia computacional.</w:t>
      </w:r>
    </w:p>
    <w:p w:rsidR="00914FAA" w:rsidRDefault="000E7DA8" w14:paraId="65119DFE" w14:textId="77777777">
      <w:commentRangeStart w:id="57"/>
      <w:r w:rsidRPr="06910F8B" w:rsidR="6A5F4401">
        <w:rPr>
          <w:b w:val="1"/>
          <w:bCs w:val="1"/>
        </w:rPr>
        <w:t>La respuesta a la pregunta de investigación es, por tanto, negativa dentro de las configuraciones, el presupuesto y la partición utilizados: no se obtuvo evidencia de que la ponderación adaptativa ligera evaluada mejore de forma consistente la concatenación directa.</w:t>
      </w:r>
      <w:r w:rsidR="6A5F4401">
        <w:rPr/>
        <w:t xml:space="preserve"> Esta conclusión se limita al mecanismo implementado y al montaje experimental del trabajo, y no supone que cualquier forma de fusión adaptativa de modalidades deba producir el mismo resultado.</w:t>
      </w:r>
      <w:commentRangeEnd w:id="57"/>
      <w:r>
        <w:rPr>
          <w:rStyle w:val="CommentReference"/>
        </w:rPr>
        <w:commentReference w:id="57"/>
      </w:r>
    </w:p>
    <w:p w:rsidR="06910F8B" w:rsidRDefault="06910F8B" w14:paraId="1FC2352F" w14:textId="7318D1DB"/>
    <w:p w:rsidR="00914FAA" w:rsidRDefault="000E7DA8" w14:paraId="6FE6FD60" w14:textId="77777777">
      <w:pPr>
        <w:pStyle w:val="Ttulo2"/>
      </w:pPr>
      <w:bookmarkStart w:name="_Toc2008580184" w:id="146"/>
      <w:bookmarkStart w:name="grado-de-cumplimiento-de-los-objetivos" w:id="147"/>
      <w:bookmarkEnd w:id="143"/>
      <w:r>
        <w:t>6.2. Grado de cumplimiento de los objetivos</w:t>
      </w:r>
      <w:bookmarkEnd w:id="146"/>
    </w:p>
    <w:p w:rsidR="00914FAA" w:rsidRDefault="000E7DA8" w14:paraId="0B933F7E" w14:textId="77777777">
      <w:commentRangeStart w:id="58"/>
      <w:r>
        <w:t>El objetivo principal consistía en diseñar, implementar y evaluar un sistema reproducible que permitiera determinar si la ponderación adaptativa mejoraba la concatenación, considerando el rendimiento de segmentación y el coste computacional. Este objetivo se alcanzó en su finalidad experimental: el sistema fue construido, las estrategias se compararon y la pregunta de investigación pudo responderse. La caracterización del coste quedó limitada por la disponibilidad incompleta de medidas homogéneas de memoria y tiempo de inferencia.</w:t>
      </w:r>
      <w:commentRangeEnd w:id="58"/>
      <w:r>
        <w:rPr>
          <w:rStyle w:val="CommentReference"/>
        </w:rPr>
        <w:commentReference w:id="58"/>
      </w:r>
    </w:p>
    <w:p w:rsidR="00914FAA" w:rsidRDefault="000E7DA8" w14:paraId="2AF782BE" w14:textId="77777777">
      <w:r>
        <w:t>Respecto a los objetivos específicos, el grado de cumplimiento fue el siguiente:</w:t>
      </w:r>
    </w:p>
    <w:p w:rsidR="00914FAA" w:rsidRDefault="000E7DA8" w14:paraId="745F6ED0" w14:textId="77777777">
      <w:pPr>
        <w:numPr>
          <w:ilvl w:val="0"/>
          <w:numId w:val="8"/>
        </w:numPr>
      </w:pPr>
      <w:r>
        <w:t xml:space="preserve">Se construyó un </w:t>
      </w:r>
      <w:r>
        <w:rPr>
          <w:i/>
          <w:iCs/>
        </w:rPr>
        <w:t>pipeline</w:t>
      </w:r>
      <w:r>
        <w:t xml:space="preserve"> con MONAI que integra la carga y verificación de los volúmenes, la transformación de etiquetas, la normalización, el aumento de datos, el entrenamiento, la inferencia y la evaluación. Las configuraciones, semillas y particiones quedaron registradas para permitir una reproducibilidad práctica del flujo experimental.</w:t>
      </w:r>
    </w:p>
    <w:p w:rsidR="00914FAA" w:rsidRDefault="000E7DA8" w14:paraId="0C2B1FD2" w14:textId="77777777">
      <w:pPr>
        <w:numPr>
          <w:ilvl w:val="0"/>
          <w:numId w:val="8"/>
        </w:numPr>
      </w:pPr>
      <w:r>
        <w:t>Se implementó y entrenó una Residual U-Net 3D con concatenación directa de las cuatro modalidades, utilizada como referencia común del estudio de fusión.</w:t>
      </w:r>
    </w:p>
    <w:p w:rsidR="00914FAA" w:rsidRDefault="000E7DA8" w14:paraId="6D70714F" w14:textId="77777777">
      <w:pPr>
        <w:numPr>
          <w:ilvl w:val="0"/>
          <w:numId w:val="8"/>
        </w:numPr>
      </w:pPr>
      <w:r>
        <w:t>Se diseñó e integró antes del codificador una compuerta adaptativa ligera, condicionada por descriptores globales de la entrada. También se evaluó una extensión que incorpora la media y la desviación típica por modalidad.</w:t>
      </w:r>
    </w:p>
    <w:p w:rsidR="00914FAA" w:rsidRDefault="000E7DA8" w14:paraId="0DB7E27B" w14:textId="77777777">
      <w:pPr>
        <w:numPr>
          <w:ilvl w:val="0"/>
          <w:numId w:val="8"/>
        </w:numPr>
      </w:pPr>
      <w:r>
        <w:t>Se completó una ablación controlada de cuatro estrategias de fusión sobre la misma Residual U-Net: concatenación, ponderación global, compuerta adaptativa basada en la media y compuerta basada en media y desviación típica. Estas configuraciones compartieron datos, arquitectura, hiperparámetros, presupuesto de entrenamiento y protocolo de inferencia.</w:t>
      </w:r>
    </w:p>
    <w:p w:rsidR="00914FAA" w:rsidRDefault="000E7DA8" w14:paraId="6278490C" w14:textId="77777777">
      <w:pPr>
        <w:numPr>
          <w:ilvl w:val="0"/>
          <w:numId w:val="8"/>
        </w:numPr>
      </w:pPr>
      <w:r>
        <w:t>La evaluación mediante Dice y HD95 para ET, TC y WT se completó para todas las configuraciones. También se cuantificaron los parámetros y los tiempos disponibles. Este objetivo se cumplió parcialmente en su dimensión computacional, porque no se dispuso de registros homogéneos de memoria y tiempo de inferencia para toda la comparación.</w:t>
      </w:r>
    </w:p>
    <w:p w:rsidR="00914FAA" w:rsidRDefault="000E7DA8" w14:paraId="3B972C53" w14:textId="77777777">
      <w:pPr>
        <w:numPr>
          <w:ilvl w:val="0"/>
          <w:numId w:val="8"/>
        </w:numPr>
      </w:pPr>
      <w:r>
        <w:lastRenderedPageBreak/>
        <w:t>Los resultados se contextualizaron mediante Attention U-Net, Swin-UNETR y nnU-Net. Esta contextualización permitió situar el rendimiento observado, aunque no constituye una ablación causal de arquitecturas debido a las diferencias de entorno, inferencia y, en nnU-Net, de preprocesamiento y entrenamiento.</w:t>
      </w:r>
    </w:p>
    <w:p w:rsidR="00914FAA" w:rsidRDefault="000E7DA8" w14:paraId="318C3343" w14:textId="77777777">
      <w:r>
        <w:t>El signo negativo del resultado de la fusión adaptativa no implica el incumplimiento del objetivo principal. El propósito del trabajo era determinar empíricamente si se producía la mejora, no presuponerla.</w:t>
      </w:r>
    </w:p>
    <w:p w:rsidR="00914FAA" w:rsidRDefault="000E7DA8" w14:paraId="6A975346" w14:textId="77777777">
      <w:r>
        <w:t xml:space="preserve">En la contextualización arquitectónica, la ordenación descriptiva de las medias observadas fue nnU-Net, con 0,829; Swin-UNETR, con 0,752 ± 0,017; Attention U-Net, con 0,735 ± 0,006; y la Residual U-Net con concatenación, con 0,706 ± 0,005. Dentro de la ablación residual, la ponderación global obtuvo 0,706 ± 0,006 y las compuertas adaptativas, afectadas por una corrida de bajo rendimiento cada una, 0,586 ± 0,169 y 0,592 ± 0,171. nnU-Net procede de una única corrida del </w:t>
      </w:r>
      <w:r>
        <w:rPr>
          <w:i/>
          <w:iCs/>
        </w:rPr>
        <w:t>fold</w:t>
      </w:r>
      <w:r>
        <w:t xml:space="preserve"> 0 y de su propio </w:t>
      </w:r>
      <w:r>
        <w:rPr>
          <w:i/>
          <w:iCs/>
        </w:rPr>
        <w:t>pipeline</w:t>
      </w:r>
      <w:r>
        <w:t>. Swin-UNETR obtuvo el mayor promedio entre las configuraciones basadas en MONAI y superó a Attention U-Net en dos de las tres semillas, mientras que Attention U-Net presentó menor variabilidad. Esta ordenación no permite afirmar superioridad estadística ni atribuir las diferencias exclusivamente a la arquitectura.</w:t>
      </w:r>
    </w:p>
    <w:p w:rsidR="00914FAA" w:rsidRDefault="000E7DA8" w14:paraId="4A629EA3" w14:textId="77777777">
      <w:r w:rsidR="6A5F4401">
        <w:rPr/>
        <w:t xml:space="preserve">Tampoco se establece una comparación numérica directa con los resultados oficiales de BraTS-GLI 2024, ya que el reto utiliza una evaluación oculta y métricas </w:t>
      </w:r>
      <w:r w:rsidRPr="06910F8B" w:rsidR="6A5F4401">
        <w:rPr>
          <w:i w:val="1"/>
          <w:iCs w:val="1"/>
        </w:rPr>
        <w:t>lesion-wise</w:t>
      </w:r>
      <w:r w:rsidR="6A5F4401">
        <w:rPr/>
        <w:t>, mientras que este trabajo emplea una partición interna y convenciones propias para los casos vacíos.</w:t>
      </w:r>
    </w:p>
    <w:p w:rsidR="06910F8B" w:rsidRDefault="06910F8B" w14:paraId="670F663A" w14:textId="2C1B78E8"/>
    <w:p w:rsidR="00914FAA" w:rsidRDefault="000E7DA8" w14:paraId="446CB6DF" w14:textId="77777777">
      <w:pPr>
        <w:pStyle w:val="Ttulo2"/>
      </w:pPr>
      <w:bookmarkStart w:name="_Toc170043617" w:id="148"/>
      <w:bookmarkStart w:name="interpretación-de-la-contribución" w:id="149"/>
      <w:bookmarkEnd w:id="145"/>
      <w:r>
        <w:t>6.3. Interpretación de la contribución</w:t>
      </w:r>
      <w:bookmarkEnd w:id="148"/>
    </w:p>
    <w:p w:rsidR="00914FAA" w:rsidRDefault="000E7DA8" w14:paraId="19B052D2" w14:textId="77777777">
      <w:commentRangeStart w:id="59"/>
      <w:r>
        <w:t>La principal contribución del trabajo es una comparación controlada y reproducible de estrategias ligeras de fusión multimodal sobre una arquitectura común. Este diseño permite separar el efecto del mecanismo de fusión de las diferencias atribuibles a la red de segmentación.</w:t>
      </w:r>
      <w:commentRangeEnd w:id="59"/>
      <w:r>
        <w:rPr>
          <w:rStyle w:val="CommentReference"/>
        </w:rPr>
        <w:commentReference w:id="59"/>
      </w:r>
    </w:p>
    <w:p w:rsidR="00914FAA" w:rsidRDefault="000E7DA8" w14:paraId="1C65F28C" w14:textId="77777777">
      <w:r>
        <w:t>La ponderación global aprendió coeficientes próximos a una distribución uniforme y no produjo una mejora consistente respecto a la concatenación. En las compuertas adaptativas, el diagnóstico realizado sobre estudios de validación mostró que los pesos variaban muy poco entre entradas y que no se concentraban de forma sistemática en una única modalidad. Este comportamiento sugiere que los descriptores globales empleados aportaron una señal limitada para adaptar la fusión a cada entrada, aunque no permite identificar por sí solo la causa de las corridas de bajo rendimiento.</w:t>
      </w:r>
    </w:p>
    <w:p w:rsidR="00914FAA" w:rsidRDefault="000E7DA8" w14:paraId="0E169770" w14:textId="49D3F445">
      <w:r w:rsidR="6A5F4401">
        <w:rPr/>
        <w:t>Desde una perspectiva práctica, la concatenación fue la alternativa más parsimoniosa del estudio</w:t>
      </w:r>
      <w:r w:rsidR="0DE5CB2A">
        <w:rPr/>
        <w:t xml:space="preserve"> ya que </w:t>
      </w:r>
      <w:r w:rsidR="6A5F4401">
        <w:rPr/>
        <w:t xml:space="preserve">no requirió parámetros adicionales y presentó, junto con la ponderación global, la menor variabilidad entre semillas. La evidencia obtenida no justifica añadir las compuertas evaluadas a esta Residual U-Net bajo el protocolo utilizado. Esta conclusión </w:t>
      </w:r>
      <w:r w:rsidR="6A5F4401">
        <w:rPr/>
        <w:t>no debe extrapolarse a mecanismos de atención espacial, fusión de características intermedias o diseños adaptativos con señales de condicionamiento diferentes.</w:t>
      </w:r>
    </w:p>
    <w:p w:rsidR="00914FAA" w:rsidRDefault="000E7DA8" w14:paraId="13BC6E78" w14:textId="77777777">
      <w:r>
        <w:t>La comparación de arquitecturas desempeñó una función contextual. Las cifras describen el rendimiento obtenido por cada configuración, pero las diferencias de protocolo impiden atribuir la ordenación observada exclusivamente a la arquitectura. En particular, nnU-Net utilizó su propio proceso de planificación, preprocesamiento y entrenamiento, por lo que actúa como una referencia externa y no como parte de una ablación causal.</w:t>
      </w:r>
    </w:p>
    <w:p w:rsidR="00914FAA" w:rsidRDefault="000E7DA8" w14:paraId="3EE6AFB6" w14:textId="77777777">
      <w:r w:rsidR="6A5F4401">
        <w:rPr/>
        <w:t>Otra aportación es la infraestructura reproducible desarrollada para configurar experimentos, registrar métricas, generar predicciones y comparar resultados. Esta infraestructura facilita la extensión del estudio a nuevas estrategias de fusión y conserva la trazabilidad entre configuraciones, puntos de control y resultados.</w:t>
      </w:r>
    </w:p>
    <w:p w:rsidR="06910F8B" w:rsidRDefault="06910F8B" w14:paraId="32474096" w14:textId="25757CC1"/>
    <w:p w:rsidR="00914FAA" w:rsidRDefault="000E7DA8" w14:paraId="32EFA2D9" w14:textId="77777777">
      <w:pPr>
        <w:pStyle w:val="Ttulo2"/>
      </w:pPr>
      <w:bookmarkStart w:name="_Toc30222883" w:id="150"/>
      <w:bookmarkStart w:name="limitaciones" w:id="151"/>
      <w:bookmarkEnd w:id="147"/>
      <w:r>
        <w:t>6.4. Limitaciones</w:t>
      </w:r>
      <w:bookmarkEnd w:id="150"/>
    </w:p>
    <w:p w:rsidR="00914FAA" w:rsidRDefault="000E7DA8" w14:paraId="2E472E7B" w14:textId="77777777">
      <w:commentRangeStart w:id="60"/>
      <w:r>
        <w:t>Las conclusiones deben interpretarse considerando las siguientes limitaciones:</w:t>
      </w:r>
      <w:commentRangeEnd w:id="60"/>
      <w:r>
        <w:rPr>
          <w:rStyle w:val="CommentReference"/>
        </w:rPr>
        <w:commentReference w:id="60"/>
      </w:r>
    </w:p>
    <w:p w:rsidR="00914FAA" w:rsidRDefault="000E7DA8" w14:paraId="7BCF01BE" w14:textId="77777777">
      <w:pPr>
        <w:numPr>
          <w:ilvl w:val="0"/>
          <w:numId w:val="9"/>
        </w:numPr>
      </w:pPr>
      <w:r>
        <w:rPr>
          <w:b/>
          <w:bCs/>
        </w:rPr>
        <w:t>Dominio único.</w:t>
      </w:r>
      <w:r>
        <w:t xml:space="preserve"> El estudio se realizó exclusivamente sobre imágenes post-tratamiento de BraTS-GLI 2024 con las cuatro modalidades disponibles. No se evaluó la generalización a otras instituciones, protocolos de adquisición o dominios clínicos.</w:t>
      </w:r>
    </w:p>
    <w:p w:rsidR="00914FAA" w:rsidRDefault="000E7DA8" w14:paraId="4F82C6CA" w14:textId="77777777">
      <w:pPr>
        <w:numPr>
          <w:ilvl w:val="0"/>
          <w:numId w:val="9"/>
        </w:numPr>
      </w:pPr>
      <w:r>
        <w:rPr>
          <w:b/>
          <w:bCs/>
        </w:rPr>
        <w:t>Partición por estudio.</w:t>
      </w:r>
      <w:r>
        <w:t xml:space="preserve"> La partición no se agrupó por sujeto. Aunque los identificadores completos de los estudios de test no aparecen en entrenamiento o validación, 205 de los 243 estudios pertenecen a sujetos con otro estudio en alguna de esas particiones. Esta circunstancia no invalida la comparación interna entre estrategias, ya que todas utilizaron la misma partición, pero limita la interpretación de las métricas como estimación de la generalización a pacientes completamente nuevos.</w:t>
      </w:r>
    </w:p>
    <w:p w:rsidR="00914FAA" w:rsidRDefault="000E7DA8" w14:paraId="67111B75" w14:textId="77777777">
      <w:pPr>
        <w:numPr>
          <w:ilvl w:val="0"/>
          <w:numId w:val="9"/>
        </w:numPr>
      </w:pPr>
      <w:r>
        <w:rPr>
          <w:b/>
          <w:bCs/>
        </w:rPr>
        <w:t>Número de repeticiones.</w:t>
      </w:r>
      <w:r>
        <w:t xml:space="preserve"> Las configuraciones basadas en MONAI se evaluaron con tres semillas. Este número permite describir la variabilidad observada, pero no realizar estimaciones precisas ni contrastes inferenciales sólidos. nnU-Net se evaluó mediante una única corrida del </w:t>
      </w:r>
      <w:r>
        <w:rPr>
          <w:i/>
          <w:iCs/>
        </w:rPr>
        <w:t>fold</w:t>
      </w:r>
      <w:r>
        <w:t xml:space="preserve"> 0.</w:t>
      </w:r>
    </w:p>
    <w:p w:rsidR="00914FAA" w:rsidRDefault="000E7DA8" w14:paraId="16573CCF" w14:textId="77777777">
      <w:pPr>
        <w:numPr>
          <w:ilvl w:val="0"/>
          <w:numId w:val="9"/>
        </w:numPr>
      </w:pPr>
      <w:r>
        <w:rPr>
          <w:b/>
          <w:bCs/>
        </w:rPr>
        <w:t>Presupuesto y selección de puntos de control.</w:t>
      </w:r>
      <w:r>
        <w:t xml:space="preserve"> Las configuraciones MONAI utilizaron un presupuesto de 15.000 pasos, elegido a partir de una sonda de la configuración de concatenación. Este presupuesto no demuestra que cada configuración alcanzara individualmente su mejor punto de convergencia. Además, sus puntos de control se seleccionaron mediante un subconjunto fijo de ocho lotes de validación, lo que redujo el coste durante el entrenamiento, pero puede introducir ruido en la elección del mejor modelo. nnU-Net utilizó 250 épocas y su propio protocolo.</w:t>
      </w:r>
    </w:p>
    <w:p w:rsidR="00914FAA" w:rsidRDefault="000E7DA8" w14:paraId="2BC49ADB" w14:textId="77777777">
      <w:pPr>
        <w:numPr>
          <w:ilvl w:val="0"/>
          <w:numId w:val="9"/>
        </w:numPr>
      </w:pPr>
      <w:r>
        <w:rPr>
          <w:b/>
          <w:bCs/>
        </w:rPr>
        <w:lastRenderedPageBreak/>
        <w:t>Protocolo de evaluación.</w:t>
      </w:r>
      <w:r>
        <w:t xml:space="preserve"> La evaluación interna no reproduce exactamente las métricas </w:t>
      </w:r>
      <w:r>
        <w:rPr>
          <w:i/>
          <w:iCs/>
        </w:rPr>
        <w:t>lesion-wise</w:t>
      </w:r>
      <w:r>
        <w:t xml:space="preserve"> ni el protocolo oculto del reto oficial. En HD95, los promedios incluyen valores cero cuando predicción y referencia están vacías y excluyen los infinitos cuando solo una lo está, por lo que los denominadores finitos varían entre modelos y regiones.</w:t>
      </w:r>
    </w:p>
    <w:p w:rsidR="00914FAA" w:rsidRDefault="000E7DA8" w14:paraId="30758C3E" w14:textId="77777777">
      <w:pPr>
        <w:numPr>
          <w:ilvl w:val="0"/>
          <w:numId w:val="9"/>
        </w:numPr>
      </w:pPr>
      <w:r>
        <w:rPr>
          <w:b/>
          <w:bCs/>
        </w:rPr>
        <w:t>Comparación arquitectónica heterogénea.</w:t>
      </w:r>
      <w:r>
        <w:t xml:space="preserve"> Las variantes residuales se ejecutaron en MPS, Attention U-Net y Swin-UNETR en CUDA, se utilizaron diferentes solapamientos durante la inferencia y nnU-Net empleó su propio preprocesamiento y protocolo de entrenamiento. Por ello, la comparación global de arquitecturas es descriptiva.</w:t>
      </w:r>
    </w:p>
    <w:p w:rsidR="00914FAA" w:rsidRDefault="000E7DA8" w14:paraId="2891E158" w14:textId="77777777">
      <w:pPr>
        <w:numPr>
          <w:ilvl w:val="0"/>
          <w:numId w:val="9"/>
        </w:numPr>
      </w:pPr>
      <w:r>
        <w:rPr>
          <w:b/>
          <w:bCs/>
        </w:rPr>
        <w:t>Caracterización computacional incompleta.</w:t>
      </w:r>
      <w:r>
        <w:t xml:space="preserve"> Aunque se dispone del número de parámetros y de varios tiempos de entrenamiento, faltan mediciones homogéneas de memoria máxima y tiempo de inferencia para todos los modelos.</w:t>
      </w:r>
    </w:p>
    <w:p w:rsidR="00914FAA" w:rsidRDefault="000E7DA8" w14:paraId="7F7EB6FF" w14:textId="77777777">
      <w:pPr>
        <w:numPr>
          <w:ilvl w:val="0"/>
          <w:numId w:val="9"/>
        </w:numPr>
        <w:rPr/>
      </w:pPr>
      <w:r w:rsidRPr="06910F8B" w:rsidR="6A5F4401">
        <w:rPr>
          <w:b w:val="1"/>
          <w:bCs w:val="1"/>
        </w:rPr>
        <w:t>Alcance de la fusión.</w:t>
      </w:r>
      <w:r w:rsidR="6A5F4401">
        <w:rPr/>
        <w:t xml:space="preserve"> Las estrategias estudiadas actúan únicamente antes del codificador y generan pesos globales por modalidad. No se evaluaron mecanismos espaciales, fusiones en niveles intermedios, interacciones entre modalidades ni estrategias específicas para modalidades ausentes o degradadas.</w:t>
      </w:r>
    </w:p>
    <w:p w:rsidR="06910F8B" w:rsidRDefault="06910F8B" w14:paraId="1FE3171E" w14:textId="7FB7F3FF"/>
    <w:p w:rsidR="00914FAA" w:rsidRDefault="000E7DA8" w14:paraId="3B3F4029" w14:textId="77777777">
      <w:pPr>
        <w:pStyle w:val="Ttulo2"/>
      </w:pPr>
      <w:bookmarkStart w:name="_Toc1818014410" w:id="152"/>
      <w:bookmarkStart w:name="líneas-de-trabajo-futuro" w:id="153"/>
      <w:bookmarkEnd w:id="149"/>
      <w:r>
        <w:t>6.5. Líneas de trabajo futuro</w:t>
      </w:r>
      <w:bookmarkEnd w:id="152"/>
    </w:p>
    <w:p w:rsidR="00914FAA" w:rsidRDefault="000E7DA8" w14:paraId="048D318D" w14:textId="77777777">
      <w:commentRangeStart w:id="61"/>
      <w:r>
        <w:t>Una primera línea consiste en estudiar mecanismos de fusión aplicados a características intermedias. La atención cruzada entre modalidades o las compuertas con información espacial podrían capturar relaciones que los descriptores globales evaluados no representan. Estas alternativas deberían compararse manteniendo fija la red base y definiendo de antemano el protocolo de ablación.</w:t>
      </w:r>
      <w:commentRangeEnd w:id="61"/>
      <w:r>
        <w:rPr>
          <w:rStyle w:val="CommentReference"/>
        </w:rPr>
        <w:commentReference w:id="61"/>
      </w:r>
    </w:p>
    <w:p w:rsidR="00914FAA" w:rsidRDefault="000E7DA8" w14:paraId="37B29ABB" w14:textId="77777777">
      <w:r>
        <w:t xml:space="preserve">También sería conveniente profundizar en la estabilidad de la optimización. Un estudio posterior podría ampliar el número de semillas, definir criterios previos para identificar corridas de bajo rendimiento y analizar conjuntamente las trayectorias de pérdida, los gradientes y la evolución de los pesos. Las variantes de </w:t>
      </w:r>
      <w:r>
        <w:rPr>
          <w:i/>
          <w:iCs/>
        </w:rPr>
        <w:t>warmup</w:t>
      </w:r>
      <w:r>
        <w:t>, tasa de aprendizaje específica, regularización de entropía y temperatura ya se estudiaron preliminarmente con 5.000 pasos; cualquier continuación de esa vía debería ampliar de forma explícita esa evidencia en lugar de presentar esas intervenciones como no exploradas.</w:t>
      </w:r>
    </w:p>
    <w:p w:rsidR="00914FAA" w:rsidRDefault="000E7DA8" w14:paraId="59E6CDBA" w14:textId="77777777">
      <w:r>
        <w:t>La evaluación computacional podría completarse mediante un protocolo común que registre tiempo de entrenamiento e inferencia, memoria máxima, rendimiento por paso y consumo de recursos en el mismo hardware. Para la comparación arquitectónica también sería útil establecer criterios de parada o presupuestos adaptados a cada modelo, evitando interpretar un presupuesto fijo como garantía de convergencia equivalente.</w:t>
      </w:r>
    </w:p>
    <w:p w:rsidR="00914FAA" w:rsidRDefault="000E7DA8" w14:paraId="066F3197" w14:textId="77777777">
      <w:r>
        <w:lastRenderedPageBreak/>
        <w:t>Si el alcance del trabajo se amplía hacia la generalización a pacientes nuevos, esta debería evaluarse mediante particiones definidas por sujeto desde el inicio del ciclo experimental y, cuando sea posible, mediante conjuntos externos. Esta ampliación respondería a una pregunta distinta de la ablación controlada realizada en el presente trabajo y permitiría medir de forma más rigurosa la capacidad de generalización.</w:t>
      </w:r>
    </w:p>
    <w:p w:rsidR="00914FAA" w:rsidRDefault="000E7DA8" w14:paraId="72CE193C" w14:textId="77777777">
      <w:r>
        <w:t xml:space="preserve">Otras extensiones relevantes son la evaluación ante modalidades ausentes o degradadas y la repetición de nnU-Net con varios </w:t>
      </w:r>
      <w:r>
        <w:rPr>
          <w:i/>
          <w:iCs/>
        </w:rPr>
        <w:t>folds</w:t>
      </w:r>
      <w:r>
        <w:t xml:space="preserve"> o ejecuciones para cuantificar su variabilidad. También podría estudiarse de forma controlada el efecto de ampliar el presupuesto de entrenamiento, el tamaño de parche o el lote, sin presuponer que el aumento de cómputo eliminará las diferencias observadas.</w:t>
      </w:r>
    </w:p>
    <w:p w:rsidR="00914FAA" w:rsidRDefault="000E7DA8" w14:paraId="67AB1984" w14:textId="77777777">
      <w:commentRangeStart w:id="62"/>
      <w:r>
        <w:t xml:space="preserve">En síntesis, el trabajo proporciona un </w:t>
      </w:r>
      <w:r>
        <w:rPr>
          <w:i/>
          <w:iCs/>
        </w:rPr>
        <w:t>pipeline</w:t>
      </w:r>
      <w:r>
        <w:t xml:space="preserve"> reproducible y una evaluación controlada de varias estrategias ligeras de fusión multimodal. Bajo el montaje estudiado, las compuertas adaptativas no ofrecieron una mejora consistente frente a la concatenación y mostraron una variabilidad mayor entre las ejecuciones realizadas. La concatenación constituye, por tanto, la referencia más parsimoniosa para este experimento, mientras que el posible valor de mecanismos adaptativos más expresivos queda abierto para investigaciones posteriores.</w:t>
      </w:r>
      <w:commentRangeEnd w:id="62"/>
      <w:r>
        <w:rPr>
          <w:rStyle w:val="CommentReference"/>
        </w:rPr>
        <w:commentReference w:id="62"/>
      </w:r>
    </w:p>
    <w:p w:rsidR="00914FAA" w:rsidRDefault="000E7DA8" w14:paraId="29FECD92" w14:textId="77777777">
      <w:pPr>
        <w:pStyle w:val="Ttulo1"/>
        <w:pageBreakBefore/>
      </w:pPr>
      <w:bookmarkStart w:name="_Toc60319615" w:id="154"/>
      <w:bookmarkStart w:name="referencias-bibliográficas" w:id="155"/>
      <w:bookmarkEnd w:id="151"/>
      <w:bookmarkEnd w:id="153"/>
      <w:r>
        <w:lastRenderedPageBreak/>
        <w:t>Referencias bibliográficas</w:t>
      </w:r>
      <w:bookmarkEnd w:id="154"/>
    </w:p>
    <w:p w:rsidR="00914FAA" w:rsidRDefault="000E7DA8" w14:paraId="2F21341B" w14:textId="77777777">
      <w:pPr>
        <w:pStyle w:val="TFMBibliography"/>
      </w:pPr>
      <w:r>
        <w:t xml:space="preserve">Berkley, A., Saueressig, C., Shukla, U., Chowdhury, I., Munoz-Gauna, A., Shehu, O., Singh, R., &amp; Munbodh, R. (2023). Clinical capability of modern brain tumor segmentation models. </w:t>
      </w:r>
      <w:r>
        <w:rPr>
          <w:i/>
          <w:iCs/>
        </w:rPr>
        <w:t>Medical Physics, 50</w:t>
      </w:r>
      <w:r>
        <w:t xml:space="preserve">(8), 4943–4959. </w:t>
      </w:r>
      <w:hyperlink r:id="rId16">
        <w:r>
          <w:rPr>
            <w:rStyle w:val="Hipervnculo"/>
          </w:rPr>
          <w:t>https://doi.org/10.1002/mp.16321</w:t>
        </w:r>
      </w:hyperlink>
    </w:p>
    <w:p w:rsidR="00914FAA" w:rsidRDefault="000E7DA8" w14:paraId="27D8B006" w14:textId="77777777">
      <w:pPr>
        <w:pStyle w:val="TFMBibliography"/>
      </w:pPr>
      <w:r>
        <w:t xml:space="preserve">Cardoso, M. J., Li, W., Brown, R., Ma, N., Kerfoot, E., Wang, Y., Murrey, B., Myronenko, A., Zhao, C., Yang, D., Nath, V., He, Y., Xu, Z., Hatamizadeh, A., Myronenko, A., Zhu, W., Liu, Y., Zheng, M., Tang, Y., . . . Feng, A. (2022). MONAI: An open-source framework for deep learning in healthcare. </w:t>
      </w:r>
      <w:r>
        <w:rPr>
          <w:i/>
          <w:iCs/>
        </w:rPr>
        <w:t>arXiv</w:t>
      </w:r>
      <w:r>
        <w:t xml:space="preserve">. </w:t>
      </w:r>
      <w:hyperlink r:id="rId17">
        <w:r>
          <w:rPr>
            <w:rStyle w:val="Hipervnculo"/>
          </w:rPr>
          <w:t>https://doi.org/10.48550/arXiv.2211.02701</w:t>
        </w:r>
      </w:hyperlink>
    </w:p>
    <w:p w:rsidR="00914FAA" w:rsidRDefault="000E7DA8" w14:paraId="3EE5A335" w14:textId="77777777">
      <w:pPr>
        <w:pStyle w:val="TFMBibliography"/>
      </w:pPr>
      <w:r>
        <w:t xml:space="preserve">Çiçek, Ö., Abdulkadir, A., Lienkamp, S. S., Brox, T., &amp; Ronneberger, O. (2016). 3D U-Net: Learning dense volumetric segmentation from sparse annotation. In S. Ourselin, L. Joskowicz, M. R. Sabuncu, G. Unal, &amp; W. Wells (Eds.), </w:t>
      </w:r>
      <w:r>
        <w:rPr>
          <w:i/>
          <w:iCs/>
        </w:rPr>
        <w:t>Medical Image Computing and Computer-Assisted Intervention—MICCAI 2016</w:t>
      </w:r>
      <w:r>
        <w:t xml:space="preserve"> (pp. 424–432). Springer. </w:t>
      </w:r>
      <w:hyperlink r:id="rId18">
        <w:r>
          <w:rPr>
            <w:rStyle w:val="Hipervnculo"/>
          </w:rPr>
          <w:t>https://doi.org/10.1007/978-3-319-46723-8_49</w:t>
        </w:r>
      </w:hyperlink>
    </w:p>
    <w:p w:rsidR="00914FAA" w:rsidRDefault="000E7DA8" w14:paraId="0AB2F79B" w14:textId="77777777">
      <w:pPr>
        <w:pStyle w:val="TFMBibliography"/>
      </w:pPr>
      <w:r>
        <w:t xml:space="preserve">de Verdier, M. C., Saluja, R., Gagnon, L., LaBella, D., Baid, U., Tahon, N. H., Foltyn-Dumitru, M., Zhang, J., Alafif, M., Baig, S., Chang, K., D’Anna, G., Deptula, L., Gupta, D., Haider, M. A., Hussain, A., Iv, M., Kontzialis, M., Manning, P., . . . Rudie, J. D. (2024). The 2024 Brain Tumor Segmentation (BraTS) Challenge: Glioma segmentation on post-treatment MRI. </w:t>
      </w:r>
      <w:r>
        <w:rPr>
          <w:i/>
          <w:iCs/>
        </w:rPr>
        <w:t>arXiv</w:t>
      </w:r>
      <w:r>
        <w:t xml:space="preserve">. </w:t>
      </w:r>
      <w:hyperlink r:id="rId19">
        <w:r>
          <w:rPr>
            <w:rStyle w:val="Hipervnculo"/>
          </w:rPr>
          <w:t>https://doi.org/10.48550/arXiv.2405.18368</w:t>
        </w:r>
      </w:hyperlink>
    </w:p>
    <w:p w:rsidR="00914FAA" w:rsidRDefault="000E7DA8" w14:paraId="0ED1B680" w14:textId="77777777">
      <w:pPr>
        <w:pStyle w:val="TFMBibliography"/>
      </w:pPr>
      <w:r>
        <w:t xml:space="preserve">Dice, L. R. (1945). Measures of the amount of ecologic association between species. </w:t>
      </w:r>
      <w:r>
        <w:rPr>
          <w:i/>
          <w:iCs/>
        </w:rPr>
        <w:t>Ecology, 26</w:t>
      </w:r>
      <w:r>
        <w:t xml:space="preserve">(3), 297–302. </w:t>
      </w:r>
      <w:hyperlink r:id="rId20">
        <w:r>
          <w:rPr>
            <w:rStyle w:val="Hipervnculo"/>
          </w:rPr>
          <w:t>https://doi.org/10.2307/1932409</w:t>
        </w:r>
      </w:hyperlink>
    </w:p>
    <w:p w:rsidR="00914FAA" w:rsidRDefault="000E7DA8" w14:paraId="1E530107" w14:textId="77777777">
      <w:pPr>
        <w:pStyle w:val="TFMBibliography"/>
      </w:pPr>
      <w:r>
        <w:t xml:space="preserve">Dosovitskiy, A., Beyer, L., Kolesnikov, A., Weissenborn, D., Zhai, X., Unterthiner, T., Dehghani, M., Minderer, M., Heigold, G., Gelly, S., Uszkoreit, J., &amp; Houlsby, N. (2021). An image is worth 16x16 words: Transformers for image recognition at scale. In </w:t>
      </w:r>
      <w:r>
        <w:rPr>
          <w:i/>
          <w:iCs/>
        </w:rPr>
        <w:t>International Conference on Learning Representations</w:t>
      </w:r>
      <w:r>
        <w:t xml:space="preserve">. </w:t>
      </w:r>
      <w:hyperlink r:id="rId21">
        <w:r>
          <w:rPr>
            <w:rStyle w:val="Hipervnculo"/>
          </w:rPr>
          <w:t>https://openreview.net/forum?id=YicbFdNTTy</w:t>
        </w:r>
      </w:hyperlink>
    </w:p>
    <w:p w:rsidR="00914FAA" w:rsidRDefault="000E7DA8" w14:paraId="715B29AE" w14:textId="77777777">
      <w:pPr>
        <w:pStyle w:val="TFMBibliography"/>
      </w:pPr>
      <w:r>
        <w:t xml:space="preserve">Gao, P., Shan, W., Guo, Y., Wang, Y., Sun, R., Cai, J., Li, H., Chan, W. S., Liu, P., Yi, L., Zhang, S., Li, W., Jiang, T., He, K., &amp; Wu, Z. (2022). Development and validation of a deep learning model for brain tumor diagnosis and classification using magnetic resonance imaging. </w:t>
      </w:r>
      <w:r>
        <w:rPr>
          <w:i/>
          <w:iCs/>
        </w:rPr>
        <w:t>JAMA Network Open, 5</w:t>
      </w:r>
      <w:r>
        <w:t xml:space="preserve">(8), e2225608. </w:t>
      </w:r>
      <w:hyperlink r:id="rId22">
        <w:r>
          <w:rPr>
            <w:rStyle w:val="Hipervnculo"/>
          </w:rPr>
          <w:t>https://doi.org/10.1001/jamanetworkopen.2022.25608</w:t>
        </w:r>
      </w:hyperlink>
    </w:p>
    <w:p w:rsidR="00914FAA" w:rsidRDefault="000E7DA8" w14:paraId="515AE4A2" w14:textId="77777777">
      <w:pPr>
        <w:pStyle w:val="TFMBibliography"/>
      </w:pPr>
      <w:r>
        <w:t xml:space="preserve">Hatamizadeh, A., Tang, Y., Nath, V., Yang, D., Myronenko, A., Landman, B., Roth, H. R., &amp; Xu, D. (2022). UNETR: Transformers for 3D medical image segmentation. In </w:t>
      </w:r>
      <w:r>
        <w:rPr>
          <w:i/>
          <w:iCs/>
        </w:rPr>
        <w:t>2022 IEEE/CVF Winter Conference on Applications of Computer Vision (WACV)</w:t>
      </w:r>
      <w:r>
        <w:t xml:space="preserve"> (pp. 1748–1758). IEEE. </w:t>
      </w:r>
      <w:hyperlink r:id="rId23">
        <w:r>
          <w:rPr>
            <w:rStyle w:val="Hipervnculo"/>
          </w:rPr>
          <w:t>https://doi.org/10.1109/WACV51458.2022.00181</w:t>
        </w:r>
      </w:hyperlink>
    </w:p>
    <w:p w:rsidR="00914FAA" w:rsidRDefault="000E7DA8" w14:paraId="2701EE66" w14:textId="77777777">
      <w:pPr>
        <w:pStyle w:val="TFMBibliography"/>
      </w:pPr>
      <w:r>
        <w:t xml:space="preserve">Havaei, M., Davy, A., Warde-Farley, D., Biard, A., Courville, A., Bengio, Y., Pal, C., Jodoin, P.-M., &amp; Larochelle, H. (2017). Brain tumor segmentation with deep neural networks. </w:t>
      </w:r>
      <w:r>
        <w:rPr>
          <w:i/>
          <w:iCs/>
        </w:rPr>
        <w:t>Medical Image Analysis, 35</w:t>
      </w:r>
      <w:r>
        <w:t xml:space="preserve">, 18–31. </w:t>
      </w:r>
      <w:hyperlink r:id="rId24">
        <w:r>
          <w:rPr>
            <w:rStyle w:val="Hipervnculo"/>
          </w:rPr>
          <w:t>https://doi.org/10.1016/j.media.2016.05.004</w:t>
        </w:r>
      </w:hyperlink>
    </w:p>
    <w:p w:rsidR="00914FAA" w:rsidRDefault="000E7DA8" w14:paraId="102386D7" w14:textId="77777777">
      <w:pPr>
        <w:pStyle w:val="TFMBibliography"/>
      </w:pPr>
      <w:r>
        <w:t xml:space="preserve">He, K., Zhang, X., Ren, S., &amp; Sun, J. (2016). Deep residual learning for image recognition. In </w:t>
      </w:r>
      <w:r>
        <w:rPr>
          <w:i/>
          <w:iCs/>
        </w:rPr>
        <w:t>2016 IEEE Conference on Computer Vision and Pattern Recognition (CVPR)</w:t>
      </w:r>
      <w:r>
        <w:t xml:space="preserve"> (pp. 770–778). IEEE. </w:t>
      </w:r>
      <w:hyperlink r:id="rId25">
        <w:r>
          <w:rPr>
            <w:rStyle w:val="Hipervnculo"/>
          </w:rPr>
          <w:t>https://doi.org/10.1109/CVPR.2016.90</w:t>
        </w:r>
      </w:hyperlink>
    </w:p>
    <w:p w:rsidR="00914FAA" w:rsidRDefault="000E7DA8" w14:paraId="3DF89A08" w14:textId="77777777">
      <w:pPr>
        <w:pStyle w:val="TFMBibliography"/>
      </w:pPr>
      <w:r>
        <w:t xml:space="preserve">Hoebel, K. V., Bridge, C. P., Ahmed, S., Akintola, O., Chung, C., Huang, R. Y., Johnson, J. M., Kim, A., Ly, K. I., Chang, K., Patel, J., Pinho, M., Batchelor, T. T., Rosen, B. R., Gerstner, E. R., &amp; Kalpathy-Cramer, J. (2024). Expert-centered evaluation of deep learning algorithms for brain tumor segmentation. </w:t>
      </w:r>
      <w:r>
        <w:rPr>
          <w:i/>
          <w:iCs/>
        </w:rPr>
        <w:t>Radiology: Artificial Intelligence, 6</w:t>
      </w:r>
      <w:r>
        <w:t xml:space="preserve">(1), e220231. </w:t>
      </w:r>
      <w:hyperlink r:id="rId26">
        <w:r>
          <w:rPr>
            <w:rStyle w:val="Hipervnculo"/>
          </w:rPr>
          <w:t>https://doi.org/10.1148/ryai.220231</w:t>
        </w:r>
      </w:hyperlink>
    </w:p>
    <w:p w:rsidR="00914FAA" w:rsidRDefault="000E7DA8" w14:paraId="0539FA07" w14:textId="77777777">
      <w:pPr>
        <w:pStyle w:val="TFMBibliography"/>
      </w:pPr>
      <w:r>
        <w:t xml:space="preserve">Huttenlocher, D. P., Klanderman, G. A., &amp; Rucklidge, W. J. (1993). Comparing images using the Hausdorff distance. </w:t>
      </w:r>
      <w:r>
        <w:rPr>
          <w:i/>
          <w:iCs/>
        </w:rPr>
        <w:t>IEEE Transactions on Pattern Analysis and Machine Intelligence, 15</w:t>
      </w:r>
      <w:r>
        <w:t xml:space="preserve">(9), 850–863. </w:t>
      </w:r>
      <w:hyperlink r:id="rId27">
        <w:r>
          <w:rPr>
            <w:rStyle w:val="Hipervnculo"/>
          </w:rPr>
          <w:t>https://doi.org/10.1109/34.232073</w:t>
        </w:r>
      </w:hyperlink>
    </w:p>
    <w:p w:rsidR="00914FAA" w:rsidRDefault="000E7DA8" w14:paraId="1C399F35" w14:textId="77777777">
      <w:pPr>
        <w:pStyle w:val="TFMBibliography"/>
      </w:pPr>
      <w:r>
        <w:lastRenderedPageBreak/>
        <w:t xml:space="preserve">Isensee, F., Jaeger, P. F., Kohl, S. A. A., Petersen, J., &amp; Maier-Hein, K. H. (2021). nnU-Net: A self-configuring method for deep learning-based biomedical image segmentation. </w:t>
      </w:r>
      <w:r>
        <w:rPr>
          <w:i/>
          <w:iCs/>
        </w:rPr>
        <w:t>Nature Methods, 18</w:t>
      </w:r>
      <w:r>
        <w:t xml:space="preserve">(2), 203–211. </w:t>
      </w:r>
      <w:hyperlink r:id="rId28">
        <w:r>
          <w:rPr>
            <w:rStyle w:val="Hipervnculo"/>
          </w:rPr>
          <w:t>https://doi.org/10.1038/s41592-020-01008-z</w:t>
        </w:r>
      </w:hyperlink>
    </w:p>
    <w:p w:rsidR="00914FAA" w:rsidRDefault="000E7DA8" w14:paraId="699D84BA" w14:textId="77777777">
      <w:pPr>
        <w:pStyle w:val="TFMBibliography"/>
      </w:pPr>
      <w:r>
        <w:t xml:space="preserve">Kamnitsas, K., Ledig, C., Newcombe, V. F. J., Simpson, J. P., Kane, A. D., Menon, D. K., Rueckert, D., &amp; Glocker, B. (2017). Efficient multi-scale 3D CNN with fully connected CRF for accurate brain lesion segmentation. </w:t>
      </w:r>
      <w:r>
        <w:rPr>
          <w:i/>
          <w:iCs/>
        </w:rPr>
        <w:t>Medical Image Analysis, 36</w:t>
      </w:r>
      <w:r>
        <w:t xml:space="preserve">, 61–78. </w:t>
      </w:r>
      <w:hyperlink r:id="rId29">
        <w:r>
          <w:rPr>
            <w:rStyle w:val="Hipervnculo"/>
          </w:rPr>
          <w:t>https://doi.org/10.1016/j.media.2016.10.004</w:t>
        </w:r>
      </w:hyperlink>
    </w:p>
    <w:p w:rsidR="00914FAA" w:rsidRDefault="000E7DA8" w14:paraId="5AF9B08E" w14:textId="77777777">
      <w:pPr>
        <w:pStyle w:val="TFMBibliography"/>
      </w:pPr>
      <w:r>
        <w:t xml:space="preserve">Khalighi, S., Reddy, K., Midya, A., Pandav, K. B., Madabhushi, A., &amp; Abedalthagafi, M. (2024). Artificial intelligence in neuro-oncology: Advances and challenges in brain tumor diagnosis, prognosis, and precision treatment. </w:t>
      </w:r>
      <w:r>
        <w:rPr>
          <w:i/>
          <w:iCs/>
        </w:rPr>
        <w:t>npj Precision Oncology, 8</w:t>
      </w:r>
      <w:r>
        <w:t xml:space="preserve">, Article 80. </w:t>
      </w:r>
      <w:hyperlink r:id="rId30">
        <w:r>
          <w:rPr>
            <w:rStyle w:val="Hipervnculo"/>
          </w:rPr>
          <w:t>https://doi.org/10.1038/s41698-024-00575-0</w:t>
        </w:r>
      </w:hyperlink>
    </w:p>
    <w:p w:rsidR="00914FAA" w:rsidRDefault="000E7DA8" w14:paraId="37F72163" w14:textId="77777777">
      <w:pPr>
        <w:pStyle w:val="TFMBibliography"/>
      </w:pPr>
      <w:r>
        <w:t xml:space="preserve">Kouli, O., Hassane, A., Badran, D., Kouli, T., Hossain-Ibrahim, K., &amp; Steele, J. D. (2022). Automated brain tumor identification using magnetic resonance imaging: A systematic review and meta-analysis. </w:t>
      </w:r>
      <w:r>
        <w:rPr>
          <w:i/>
          <w:iCs/>
        </w:rPr>
        <w:t>Neuro-Oncology Advances, 4</w:t>
      </w:r>
      <w:r>
        <w:t xml:space="preserve">(1), vdac081. </w:t>
      </w:r>
      <w:hyperlink r:id="rId31">
        <w:r>
          <w:rPr>
            <w:rStyle w:val="Hipervnculo"/>
          </w:rPr>
          <w:t>https://doi.org/10.1093/noajnl/vdac081</w:t>
        </w:r>
      </w:hyperlink>
    </w:p>
    <w:p w:rsidR="00914FAA" w:rsidRDefault="000E7DA8" w14:paraId="1EC898BA" w14:textId="77777777">
      <w:pPr>
        <w:pStyle w:val="TFMBibliography"/>
      </w:pPr>
      <w:r>
        <w:t xml:space="preserve">Langen, K.-J., Galldiks, N., Hattingen, E., &amp; Shah, N. J. (2017). Advances in neuro-oncology imaging. </w:t>
      </w:r>
      <w:r>
        <w:rPr>
          <w:i/>
          <w:iCs/>
        </w:rPr>
        <w:t>Nature Reviews Neurology, 13</w:t>
      </w:r>
      <w:r>
        <w:t xml:space="preserve">(5), 279–289. </w:t>
      </w:r>
      <w:hyperlink r:id="rId32">
        <w:r>
          <w:rPr>
            <w:rStyle w:val="Hipervnculo"/>
          </w:rPr>
          <w:t>https://doi.org/10.1038/nrneurol.2017.44</w:t>
        </w:r>
      </w:hyperlink>
    </w:p>
    <w:p w:rsidR="00914FAA" w:rsidRDefault="000E7DA8" w14:paraId="1097CF2C" w14:textId="77777777">
      <w:pPr>
        <w:pStyle w:val="TFMBibliography"/>
      </w:pPr>
      <w:r>
        <w:t xml:space="preserve">Liu, Y., Mu, F., Shi, Y., Cheng, J., Li, C., &amp; Chen, X. (2022). Brain tumor segmentation in multimodal MRI via pixel-level and feature-level image fusion. </w:t>
      </w:r>
      <w:r>
        <w:rPr>
          <w:i/>
          <w:iCs/>
        </w:rPr>
        <w:t>Frontiers in Neuroscience, 16</w:t>
      </w:r>
      <w:r>
        <w:t xml:space="preserve">, 1000587. </w:t>
      </w:r>
      <w:hyperlink r:id="rId33">
        <w:r>
          <w:rPr>
            <w:rStyle w:val="Hipervnculo"/>
          </w:rPr>
          <w:t>https://doi.org/10.3389/fnins.2022.1000587</w:t>
        </w:r>
      </w:hyperlink>
    </w:p>
    <w:p w:rsidR="00914FAA" w:rsidRDefault="000E7DA8" w14:paraId="2AF375EB" w14:textId="77777777">
      <w:pPr>
        <w:pStyle w:val="TFMBibliography"/>
      </w:pPr>
      <w:r>
        <w:t xml:space="preserve">Liu, Z., Lin, Y., Cao, Y., Hu, H., Wei, Y., Zhang, Z., Lin, S., &amp; Guo, B. (2021). Swin Transformer: Hierarchical vision Transformer using shifted windows. In </w:t>
      </w:r>
      <w:r>
        <w:rPr>
          <w:i/>
          <w:iCs/>
        </w:rPr>
        <w:t>2021 IEEE/CVF International Conference on Computer Vision (ICCV)</w:t>
      </w:r>
      <w:r>
        <w:t xml:space="preserve"> (pp. 9992–10002). IEEE. </w:t>
      </w:r>
      <w:hyperlink r:id="rId34">
        <w:r>
          <w:rPr>
            <w:rStyle w:val="Hipervnculo"/>
          </w:rPr>
          <w:t>https://doi.org/10.1109/ICCV48922.2021.00986</w:t>
        </w:r>
      </w:hyperlink>
    </w:p>
    <w:p w:rsidR="00914FAA" w:rsidRDefault="000E7DA8" w14:paraId="58FF9548" w14:textId="77777777">
      <w:pPr>
        <w:pStyle w:val="TFMBibliography"/>
      </w:pPr>
      <w:r>
        <w:t xml:space="preserve">Long, J., Shelhamer, E., &amp; Darrell, T. (2015). Fully convolutional networks for semantic segmentation. In </w:t>
      </w:r>
      <w:r>
        <w:rPr>
          <w:i/>
          <w:iCs/>
        </w:rPr>
        <w:t>2015 IEEE Conference on Computer Vision and Pattern Recognition (CVPR)</w:t>
      </w:r>
      <w:r>
        <w:t xml:space="preserve"> (pp. 3431–3440). IEEE. </w:t>
      </w:r>
      <w:hyperlink r:id="rId35">
        <w:r>
          <w:rPr>
            <w:rStyle w:val="Hipervnculo"/>
          </w:rPr>
          <w:t>https://doi.org/10.1109/CVPR.2015.7298965</w:t>
        </w:r>
      </w:hyperlink>
    </w:p>
    <w:p w:rsidR="00914FAA" w:rsidRDefault="000E7DA8" w14:paraId="600ECDFC" w14:textId="77777777">
      <w:pPr>
        <w:pStyle w:val="TFMBibliography"/>
      </w:pPr>
      <w:r>
        <w:t xml:space="preserve">Mattson, P., Cheng, C., Diamos, G., Coleman, C., Micikevicius, P., Patterson, D., Tang, H., Wei, G.-Y., Bailis, P., Bittorf, V., Brooks, D., Chen, D., Dutta, D., Gupta, U., Hazelwood, K., Hock, A., Huang, X., Kang, D., Kanter, D., . . . Zaharia, M. (2020). MLPerf training benchmark. </w:t>
      </w:r>
      <w:r>
        <w:rPr>
          <w:i/>
          <w:iCs/>
        </w:rPr>
        <w:t>Proceedings of Machine Learning and Systems, 2</w:t>
      </w:r>
      <w:r>
        <w:t xml:space="preserve">. </w:t>
      </w:r>
      <w:hyperlink r:id="rId36">
        <w:r>
          <w:rPr>
            <w:rStyle w:val="Hipervnculo"/>
          </w:rPr>
          <w:t>https://proceedings.mlsys.org/paper_files/paper/2020/hash/411e39b117e885341f25efb8912945f7-Abstract.html</w:t>
        </w:r>
      </w:hyperlink>
    </w:p>
    <w:p w:rsidR="00914FAA" w:rsidRDefault="000E7DA8" w14:paraId="33012CCA" w14:textId="77777777">
      <w:pPr>
        <w:pStyle w:val="TFMBibliography"/>
      </w:pPr>
      <w:r>
        <w:t xml:space="preserve">Menze, B. H., Jakab, A., Bauer, S., Kalpathy-Cramer, J., Farahani, K., Kirby, J., Burren, Y., Porz, N., Slotboom, J., Wiest, R., Lanczi, L., Gerstner, E., Weber, M.-A., Arbel, T., Avants, B. B., Ayache, N., Buendia, P., Collins, D. L., Cordier, N., . . . Van Leemput, K. (2015). The multimodal brain tumor image segmentation benchmark (BRATS). </w:t>
      </w:r>
      <w:r>
        <w:rPr>
          <w:i/>
          <w:iCs/>
        </w:rPr>
        <w:t>IEEE Transactions on Medical Imaging, 34</w:t>
      </w:r>
      <w:r>
        <w:t xml:space="preserve">(10), 1993–2024. </w:t>
      </w:r>
      <w:hyperlink r:id="rId37">
        <w:r>
          <w:rPr>
            <w:rStyle w:val="Hipervnculo"/>
          </w:rPr>
          <w:t>https://doi.org/10.1109/TMI.2014.2377694</w:t>
        </w:r>
      </w:hyperlink>
    </w:p>
    <w:p w:rsidR="00914FAA" w:rsidRDefault="000E7DA8" w14:paraId="4F201EF8" w14:textId="77777777">
      <w:pPr>
        <w:pStyle w:val="TFMBibliography"/>
      </w:pPr>
      <w:r>
        <w:t xml:space="preserve">Milletari, F., Navab, N., &amp; Ahmadi, S.-A. (2016). V-Net: Fully convolutional neural networks for volumetric medical image segmentation. In </w:t>
      </w:r>
      <w:r>
        <w:rPr>
          <w:i/>
          <w:iCs/>
        </w:rPr>
        <w:t>2016 Fourth International Conference on 3D Vision (3DV)</w:t>
      </w:r>
      <w:r>
        <w:t xml:space="preserve"> (pp. 565–571). IEEE. </w:t>
      </w:r>
      <w:hyperlink r:id="rId38">
        <w:r>
          <w:rPr>
            <w:rStyle w:val="Hipervnculo"/>
          </w:rPr>
          <w:t>https://doi.org/10.1109/3DV.2016.79</w:t>
        </w:r>
      </w:hyperlink>
    </w:p>
    <w:p w:rsidR="00914FAA" w:rsidRDefault="000E7DA8" w14:paraId="1E50E4EA" w14:textId="77777777">
      <w:pPr>
        <w:pStyle w:val="TFMBibliography"/>
      </w:pPr>
      <w:r>
        <w:t xml:space="preserve">Myronenko, A. (2019). 3D MRI brain tumor segmentation using autoencoder regularization. In A. Crimi, S. Bakas, H. Kuijf, F. Keyvan, M. Reyes, &amp; T. van Walsum (Eds.), </w:t>
      </w:r>
      <w:r>
        <w:rPr>
          <w:i/>
          <w:iCs/>
        </w:rPr>
        <w:t>Brainlesion: Glioma, multiple sclerosis, stroke and traumatic brain injuries</w:t>
      </w:r>
      <w:r>
        <w:t xml:space="preserve"> (pp. 311–320). Springer. </w:t>
      </w:r>
      <w:hyperlink r:id="rId39">
        <w:r>
          <w:rPr>
            <w:rStyle w:val="Hipervnculo"/>
          </w:rPr>
          <w:t>https://doi.org/10.1007/978-3-030-11726-9_28</w:t>
        </w:r>
      </w:hyperlink>
    </w:p>
    <w:p w:rsidR="00914FAA" w:rsidRDefault="000E7DA8" w14:paraId="206AB02A" w14:textId="77777777">
      <w:pPr>
        <w:pStyle w:val="TFMBibliography"/>
      </w:pPr>
      <w:r>
        <w:t xml:space="preserve">Oktay, O., Schlemper, J., Le Folgoc, L., Lee, M., Heinrich, M., Misawa, K., Mori, K., McDonagh, S., Hammerla, N. Y., Kainz, B., Glocker, B., &amp; Rueckert, D. (2018). Attention U-Net: Learning where to look for the pancreas. </w:t>
      </w:r>
      <w:r>
        <w:rPr>
          <w:i/>
          <w:iCs/>
        </w:rPr>
        <w:t>arXiv</w:t>
      </w:r>
      <w:r>
        <w:t xml:space="preserve">. </w:t>
      </w:r>
      <w:hyperlink r:id="rId40">
        <w:r>
          <w:rPr>
            <w:rStyle w:val="Hipervnculo"/>
          </w:rPr>
          <w:t>https://doi.org/10.48550/arXiv.1804.03999</w:t>
        </w:r>
      </w:hyperlink>
    </w:p>
    <w:p w:rsidR="00914FAA" w:rsidRDefault="000E7DA8" w14:paraId="37F4F5DA" w14:textId="77777777">
      <w:pPr>
        <w:pStyle w:val="TFMBibliography"/>
      </w:pPr>
      <w:r>
        <w:lastRenderedPageBreak/>
        <w:t xml:space="preserve">Pineau, J., Vincent-Lamarre, P., Sinha, K., Larivière, V., Beygelzimer, A., d’Alché-Buc, F., Fox, E., &amp; Larochelle, H. (2021). Improving reproducibility in machine learning research: A report from the NeurIPS 2019 reproducibility program. </w:t>
      </w:r>
      <w:r>
        <w:rPr>
          <w:i/>
          <w:iCs/>
        </w:rPr>
        <w:t>Journal of Machine Learning Research, 22</w:t>
      </w:r>
      <w:r>
        <w:t xml:space="preserve">(164), 1–20. </w:t>
      </w:r>
      <w:hyperlink r:id="rId41">
        <w:r>
          <w:rPr>
            <w:rStyle w:val="Hipervnculo"/>
          </w:rPr>
          <w:t>https://www.jmlr.org/papers/v22/20-303.html</w:t>
        </w:r>
      </w:hyperlink>
    </w:p>
    <w:p w:rsidR="00914FAA" w:rsidRDefault="000E7DA8" w14:paraId="4B8887AF" w14:textId="77777777">
      <w:pPr>
        <w:pStyle w:val="TFMBibliography"/>
      </w:pPr>
      <w:r>
        <w:t xml:space="preserve">Ronneberger, O., Fischer, P., &amp; Brox, T. (2015). U-Net: Convolutional networks for biomedical image segmentation. In N. Navab, J. Hornegger, W. M. Wells, &amp; A. F. Frangi (Eds.), </w:t>
      </w:r>
      <w:r>
        <w:rPr>
          <w:i/>
          <w:iCs/>
        </w:rPr>
        <w:t>Medical Image Computing and Computer-Assisted Intervention—MICCAI 2015</w:t>
      </w:r>
      <w:r>
        <w:t xml:space="preserve"> (pp. 234–241). Springer. </w:t>
      </w:r>
      <w:hyperlink r:id="rId42">
        <w:r>
          <w:rPr>
            <w:rStyle w:val="Hipervnculo"/>
          </w:rPr>
          <w:t>https://doi.org/10.1007/978-3-319-24574-4_28</w:t>
        </w:r>
      </w:hyperlink>
    </w:p>
    <w:p w:rsidR="00914FAA" w:rsidRDefault="000E7DA8" w14:paraId="4FCA1618" w14:textId="77777777">
      <w:pPr>
        <w:pStyle w:val="TFMBibliography"/>
      </w:pPr>
      <w:r>
        <w:t xml:space="preserve">Ruffle, J. K., Mohinta, S., Gray, R., Hyare, H., &amp; Nachev, P. (2023). Brain tumour segmentation with incomplete imaging data. </w:t>
      </w:r>
      <w:r>
        <w:rPr>
          <w:i/>
          <w:iCs/>
        </w:rPr>
        <w:t>Brain Communications, 5</w:t>
      </w:r>
      <w:r>
        <w:t xml:space="preserve">(2), fcad118. </w:t>
      </w:r>
      <w:hyperlink r:id="rId43">
        <w:r>
          <w:rPr>
            <w:rStyle w:val="Hipervnculo"/>
          </w:rPr>
          <w:t>https://doi.org/10.1093/braincomms/fcad118</w:t>
        </w:r>
      </w:hyperlink>
    </w:p>
    <w:p w:rsidR="00914FAA" w:rsidRDefault="000E7DA8" w14:paraId="16BE888A" w14:textId="77777777">
      <w:pPr>
        <w:pStyle w:val="TFMBibliography"/>
      </w:pPr>
      <w:r>
        <w:t xml:space="preserve">Shaker, A., Maaz, M., Rasheed, H., Khan, S., Yang, M.-H., &amp; Khan, F. S. (2024). UNETR++: Delving into efficient and accurate 3D medical image segmentation. </w:t>
      </w:r>
      <w:r>
        <w:rPr>
          <w:i/>
          <w:iCs/>
        </w:rPr>
        <w:t>IEEE Transactions on Medical Imaging, 43</w:t>
      </w:r>
      <w:r>
        <w:t xml:space="preserve">(9), 3377–3390. </w:t>
      </w:r>
      <w:hyperlink r:id="rId44">
        <w:r>
          <w:rPr>
            <w:rStyle w:val="Hipervnculo"/>
          </w:rPr>
          <w:t>https://doi.org/10.1109/TMI.2024.3398728</w:t>
        </w:r>
      </w:hyperlink>
    </w:p>
    <w:p w:rsidR="00914FAA" w:rsidRDefault="000E7DA8" w14:paraId="2688C63D" w14:textId="77777777">
      <w:pPr>
        <w:pStyle w:val="TFMBibliography"/>
      </w:pPr>
      <w:r>
        <w:t xml:space="preserve">Taha, A. A., &amp; Hanbury, A. (2015). Metrics for evaluating 3D medical image segmentation: Analysis, selection, and tool. </w:t>
      </w:r>
      <w:r>
        <w:rPr>
          <w:i/>
          <w:iCs/>
        </w:rPr>
        <w:t>BMC Medical Imaging, 15</w:t>
      </w:r>
      <w:r>
        <w:t xml:space="preserve">, Article 29. </w:t>
      </w:r>
      <w:hyperlink r:id="rId45">
        <w:r>
          <w:rPr>
            <w:rStyle w:val="Hipervnculo"/>
          </w:rPr>
          <w:t>https://doi.org/10.1186/s12880-015-0068-x</w:t>
        </w:r>
      </w:hyperlink>
    </w:p>
    <w:p w:rsidR="00914FAA" w:rsidRDefault="000E7DA8" w14:paraId="6829DD29" w14:textId="77777777">
      <w:pPr>
        <w:pStyle w:val="TFMBibliography"/>
      </w:pPr>
      <w:r>
        <w:t xml:space="preserve">Tang, Y., Yang, D., Li, W., Roth, H. R., Landman, B., Xu, D., Nath, V., &amp; Hatamizadeh, A. (2022). Self-supervised pre-training of Swin Transformers for 3D medical image analysis. In </w:t>
      </w:r>
      <w:r>
        <w:rPr>
          <w:i/>
          <w:iCs/>
        </w:rPr>
        <w:t>2022 IEEE/CVF Conference on Computer Vision and Pattern Recognition (CVPR)</w:t>
      </w:r>
      <w:r>
        <w:t xml:space="preserve"> (pp. 20698–20708). IEEE. </w:t>
      </w:r>
      <w:hyperlink r:id="rId46">
        <w:r>
          <w:rPr>
            <w:rStyle w:val="Hipervnculo"/>
          </w:rPr>
          <w:t>https://doi.org/10.1109/CVPR52688.2022.02007</w:t>
        </w:r>
      </w:hyperlink>
    </w:p>
    <w:p w:rsidR="00914FAA" w:rsidRDefault="000E7DA8" w14:paraId="29166748" w14:textId="77777777">
      <w:pPr>
        <w:pStyle w:val="TFMBibliography"/>
      </w:pPr>
      <w:r>
        <w:t xml:space="preserve">Vaswani, A., Shazeer, N., Parmar, N., Uszkoreit, J., Jones, L., Gomez, A. N., Kaiser, Ł., &amp; Polosukhin, I. (2017). Attention is all you need. In </w:t>
      </w:r>
      <w:r>
        <w:rPr>
          <w:i/>
          <w:iCs/>
        </w:rPr>
        <w:t>Advances in Neural Information Processing Systems 30</w:t>
      </w:r>
      <w:r>
        <w:t xml:space="preserve"> (pp. 5998–6008). </w:t>
      </w:r>
      <w:hyperlink r:id="rId47">
        <w:r>
          <w:rPr>
            <w:rStyle w:val="Hipervnculo"/>
          </w:rPr>
          <w:t>https://papers.nips.cc/paper_files/paper/2017/hash/3f5ee243547dee91fbd053c1c4a845aa-Abstract.html</w:t>
        </w:r>
      </w:hyperlink>
    </w:p>
    <w:p w:rsidR="00914FAA" w:rsidRDefault="000E7DA8" w14:paraId="5B84F285" w14:textId="77777777">
      <w:pPr>
        <w:pStyle w:val="TFMBibliography"/>
      </w:pPr>
      <w:r>
        <w:t xml:space="preserve">Wang, W., Chen, C., Ding, M., Yu, H., Zha, S., &amp; Li, J. (2021). TransBTS: Multimodal brain tumor segmentation using Transformer. In </w:t>
      </w:r>
      <w:r>
        <w:rPr>
          <w:i/>
          <w:iCs/>
        </w:rPr>
        <w:t>Medical Image Computing and Computer-Assisted Intervention—MICCAI 2021</w:t>
      </w:r>
      <w:r>
        <w:t xml:space="preserve"> (pp. 109–119). Springer. </w:t>
      </w:r>
      <w:hyperlink r:id="rId48">
        <w:r>
          <w:rPr>
            <w:rStyle w:val="Hipervnculo"/>
          </w:rPr>
          <w:t>https://doi.org/10.1007/978-3-030-87193-2_11</w:t>
        </w:r>
      </w:hyperlink>
    </w:p>
    <w:p w:rsidR="00914FAA" w:rsidRDefault="000E7DA8" w14:paraId="1658CF75" w14:textId="77777777">
      <w:pPr>
        <w:pStyle w:val="TFMBibliography"/>
      </w:pPr>
      <w:r>
        <w:t xml:space="preserve">Zhou, T., Ruan, S., Vera, P., &amp; Canu, S. (2022). A Tri-Attention fusion guided multi-modal segmentation network. </w:t>
      </w:r>
      <w:r>
        <w:rPr>
          <w:i/>
          <w:iCs/>
        </w:rPr>
        <w:t>Pattern Recognition, 124</w:t>
      </w:r>
      <w:r>
        <w:t xml:space="preserve">, 108417. </w:t>
      </w:r>
      <w:hyperlink r:id="rId49">
        <w:r>
          <w:rPr>
            <w:rStyle w:val="Hipervnculo"/>
          </w:rPr>
          <w:t>https://doi.org/10.1016/j.patcog.2021.108417</w:t>
        </w:r>
      </w:hyperlink>
    </w:p>
    <w:p w:rsidR="00914FAA" w:rsidRDefault="000E7DA8" w14:paraId="681B67A2" w14:textId="77777777">
      <w:pPr>
        <w:pStyle w:val="Ttulo1"/>
        <w:pageBreakBefore/>
      </w:pPr>
      <w:bookmarkStart w:name="_Toc836904884" w:id="156"/>
      <w:bookmarkStart w:name="apéndice-a.-reproducibilidad" w:id="157"/>
      <w:bookmarkEnd w:id="155"/>
      <w:r>
        <w:lastRenderedPageBreak/>
        <w:t>Apéndice A. Reproducibilidad</w:t>
      </w:r>
      <w:bookmarkEnd w:id="156"/>
    </w:p>
    <w:p w:rsidR="00914FAA" w:rsidRDefault="000E7DA8" w14:paraId="7E63B187" w14:textId="77777777">
      <w:commentRangeStart w:id="63"/>
      <w:r>
        <w:t>Este apéndice identifica el código, las configuraciones, los comandos y los artefactos necesarios para auditar el trabajo. No sustituye las condiciones de acceso al conjunto BraTS-GLI 2024 ni permite reconstruir los entrenamientos pesados sin disponer de los datos y del entorno de cómputo.</w:t>
      </w:r>
      <w:commentRangeEnd w:id="63"/>
      <w:r>
        <w:rPr>
          <w:rStyle w:val="CommentReference"/>
        </w:rPr>
        <w:commentReference w:id="63"/>
      </w:r>
    </w:p>
    <w:p w:rsidR="00914FAA" w:rsidRDefault="000E7DA8" w14:paraId="519E75AA" w14:textId="77777777">
      <w:pPr>
        <w:pStyle w:val="Ttulo2"/>
      </w:pPr>
      <w:bookmarkStart w:name="_Toc1772996135" w:id="158"/>
      <w:bookmarkStart w:name="a.1.-repositorio-y-versión-de-entrega" w:id="159"/>
      <w:r>
        <w:t>A.1. Repositorio y versión de entrega</w:t>
      </w:r>
      <w:bookmarkEnd w:id="158"/>
    </w:p>
    <w:p w:rsidR="00914FAA" w:rsidRDefault="000E7DA8" w14:paraId="4714CAB5" w14:textId="77777777">
      <w:pPr>
        <w:numPr>
          <w:ilvl w:val="0"/>
          <w:numId w:val="11"/>
        </w:numPr>
      </w:pPr>
      <w:r>
        <w:t xml:space="preserve">Repositorio remoto configurado: </w:t>
      </w:r>
      <w:hyperlink r:id="rId50">
        <w:r>
          <w:rPr>
            <w:rStyle w:val="Hipervnculo"/>
          </w:rPr>
          <w:t>https://github.com/jesusferron/tfm-brain-tumor-segmentation</w:t>
        </w:r>
      </w:hyperlink>
      <w:r>
        <w:t>.</w:t>
      </w:r>
    </w:p>
    <w:p w:rsidR="00914FAA" w:rsidRDefault="000E7DA8" w14:paraId="03B15454" w14:textId="77777777">
      <w:pPr>
        <w:numPr>
          <w:ilvl w:val="0"/>
          <w:numId w:val="11"/>
        </w:numPr>
        <w:rPr/>
      </w:pPr>
      <w:commentRangeStart w:id="64"/>
      <w:r w:rsidR="6A5F4401">
        <w:rPr/>
        <w:t>Rama de trabajo: main.</w:t>
      </w:r>
      <w:commentRangeEnd w:id="64"/>
      <w:r>
        <w:rPr>
          <w:rStyle w:val="CommentReference"/>
        </w:rPr>
        <w:commentReference w:id="64"/>
      </w:r>
    </w:p>
    <w:p w:rsidR="00914FAA" w:rsidRDefault="000E7DA8" w14:paraId="569061E6" w14:textId="7A866B02">
      <w:r w:rsidR="14D4CB6B">
        <w:rPr/>
        <w:t>L</w:t>
      </w:r>
      <w:r w:rsidR="6A5F4401">
        <w:rPr/>
        <w:t>a copia exacta puede obtenerse con:</w:t>
      </w:r>
    </w:p>
    <w:p w:rsidR="00914FAA" w:rsidP="06910F8B" w:rsidRDefault="000E7DA8" w14:paraId="7C08A2FF" w14:textId="1CF4B0BF">
      <w:pPr>
        <w:pStyle w:val="TFMCode"/>
        <w:widowControl w:val="0"/>
        <w:pBdr>
          <w:left w:val="single" w:color="ED7D31" w:sz="12" w:space="8"/>
        </w:pBdr>
        <w:shd w:val="clear" w:color="auto" w:fill="F2F2F2" w:themeFill="background1" w:themeFillShade="F2"/>
      </w:pPr>
      <w:r w:rsidRPr="06910F8B" w:rsidR="6A5F4401">
        <w:rPr>
          <w:rStyle w:val="FunctionTok"/>
          <w:rFonts w:eastAsia="Consolas" w:cs="Consolas"/>
          <w:noProof/>
          <w:color w:val="1F1F1F"/>
        </w:rPr>
        <w:t>git</w:t>
      </w:r>
      <w:r w:rsidRPr="06910F8B" w:rsidR="6A5F4401">
        <w:rPr>
          <w:rStyle w:val="NormalTok"/>
          <w:rFonts w:eastAsia="Consolas" w:cs="Consolas"/>
          <w:noProof/>
          <w:color w:val="1F1F1F"/>
        </w:rPr>
        <w:t xml:space="preserve"> clone https://github.com/jesusferron/tfm-brain-tumor-segmentation.git</w:t>
      </w:r>
      <w:r>
        <w:br/>
      </w:r>
      <w:r w:rsidRPr="06910F8B" w:rsidR="6A5F4401">
        <w:rPr>
          <w:rStyle w:val="BuiltInTok"/>
          <w:rFonts w:eastAsia="Consolas" w:cs="Consolas"/>
          <w:noProof/>
          <w:color w:val="1F1F1F"/>
        </w:rPr>
        <w:t>cd</w:t>
      </w:r>
      <w:r w:rsidRPr="06910F8B" w:rsidR="6A5F4401">
        <w:rPr>
          <w:rStyle w:val="NormalTok"/>
          <w:rFonts w:eastAsia="Consolas" w:cs="Consolas"/>
          <w:noProof/>
          <w:color w:val="1F1F1F"/>
        </w:rPr>
        <w:t xml:space="preserve"> tfm-brain-tumor-segmentation</w:t>
      </w:r>
      <w:r>
        <w:br/>
      </w:r>
      <w:r w:rsidRPr="06910F8B" w:rsidR="6A5F4401">
        <w:rPr>
          <w:rStyle w:val="FunctionTok"/>
          <w:rFonts w:eastAsia="Consolas" w:cs="Consolas"/>
          <w:noProof/>
          <w:color w:val="1F1F1F"/>
        </w:rPr>
        <w:t>git</w:t>
      </w:r>
      <w:r w:rsidRPr="06910F8B" w:rsidR="6A5F4401">
        <w:rPr>
          <w:rStyle w:val="NormalTok"/>
          <w:rFonts w:eastAsia="Consolas" w:cs="Consolas"/>
          <w:noProof/>
          <w:color w:val="1F1F1F"/>
        </w:rPr>
        <w:t xml:space="preserve"> checkout </w:t>
      </w:r>
      <w:r w:rsidRPr="06910F8B" w:rsidR="533EB9B4">
        <w:rPr>
          <w:rStyle w:val="NormalTok"/>
          <w:rFonts w:eastAsia="Consolas" w:cs="Consolas"/>
          <w:noProof/>
          <w:color w:val="1F1F1F"/>
        </w:rPr>
        <w:t>main</w:t>
      </w:r>
    </w:p>
    <w:p w:rsidR="06910F8B" w:rsidP="06910F8B" w:rsidRDefault="06910F8B" w14:paraId="2E4E5D9D" w14:textId="55E1B037">
      <w:pPr>
        <w:pStyle w:val="Ttulo2"/>
      </w:pPr>
    </w:p>
    <w:p w:rsidR="00914FAA" w:rsidRDefault="000E7DA8" w14:paraId="726206CC" w14:textId="77777777">
      <w:pPr>
        <w:pStyle w:val="Ttulo2"/>
      </w:pPr>
      <w:bookmarkStart w:name="_Toc676996753" w:id="160"/>
      <w:bookmarkStart w:name="a.2.-entorno" w:id="161"/>
      <w:bookmarkEnd w:id="157"/>
      <w:r>
        <w:t>A.2. Entorno</w:t>
      </w:r>
      <w:bookmarkEnd w:id="160"/>
    </w:p>
    <w:p w:rsidR="00914FAA" w:rsidRDefault="000E7DA8" w14:paraId="35ABAB2F" w14:textId="77777777">
      <w:r w:rsidR="6A5F4401">
        <w:rPr/>
        <w:t xml:space="preserve">Las dependencias del </w:t>
      </w:r>
      <w:r w:rsidRPr="06910F8B" w:rsidR="6A5F4401">
        <w:rPr>
          <w:i w:val="1"/>
          <w:iCs w:val="1"/>
        </w:rPr>
        <w:t>pipeline</w:t>
      </w:r>
      <w:r w:rsidR="6A5F4401">
        <w:rPr/>
        <w:t xml:space="preserve"> MONAI se recogen en </w:t>
      </w:r>
      <w:r w:rsidRPr="06910F8B" w:rsidR="6A5F4401">
        <w:rPr>
          <w:rFonts w:ascii="Consolas" w:hAnsi="Consolas" w:eastAsia="Consolas" w:cs="Consolas"/>
        </w:rPr>
        <w:t xml:space="preserve">requirements/protocol.txt </w:t>
      </w:r>
      <w:r w:rsidR="6A5F4401">
        <w:rPr/>
        <w:t xml:space="preserve">y las de nnU-Net en </w:t>
      </w:r>
      <w:r w:rsidRPr="06910F8B" w:rsidR="6A5F4401">
        <w:rPr>
          <w:rFonts w:ascii="Consolas" w:hAnsi="Consolas" w:eastAsia="Consolas" w:cs="Consolas"/>
        </w:rPr>
        <w:t>requirements/nnunet.txt</w:t>
      </w:r>
      <w:r w:rsidR="6A5F4401">
        <w:rPr/>
        <w:t>. Una instalación local básica se prepara mediante:</w:t>
      </w:r>
    </w:p>
    <w:p w:rsidR="00914FAA" w:rsidRDefault="000E7DA8" w14:paraId="15D2F348" w14:textId="77777777">
      <w:pPr>
        <w:pStyle w:val="TFMCode"/>
        <w:widowControl w:val="0"/>
        <w:pBdr>
          <w:left w:val="single" w:color="ED7D31" w:sz="12" w:space="8"/>
        </w:pBdr>
        <w:shd w:val="clear" w:color="auto" w:fill="F2F2F2"/>
      </w:pPr>
      <w:r>
        <w:rPr>
          <w:rStyle w:val="ExtensionTok"/>
          <w:rFonts w:eastAsia="Consolas" w:cs="Consolas"/>
          <w:noProof/>
          <w:color w:val="1F1F1F"/>
        </w:rPr>
        <w:t>python3</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venv .venv</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pip install </w:t>
      </w:r>
      <w:r>
        <w:rPr>
          <w:rStyle w:val="AttributeTok"/>
          <w:rFonts w:eastAsia="Consolas" w:cs="Consolas"/>
          <w:noProof/>
          <w:color w:val="1F1F1F"/>
        </w:rPr>
        <w:t>--upgrade</w:t>
      </w:r>
      <w:r>
        <w:rPr>
          <w:rStyle w:val="NormalTok"/>
          <w:rFonts w:eastAsia="Consolas" w:cs="Consolas"/>
          <w:noProof/>
          <w:color w:val="1F1F1F"/>
        </w:rPr>
        <w:t xml:space="preserve"> pip</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pip install </w:t>
      </w:r>
      <w:r>
        <w:rPr>
          <w:rStyle w:val="AttributeTok"/>
          <w:rFonts w:eastAsia="Consolas" w:cs="Consolas"/>
          <w:noProof/>
          <w:color w:val="1F1F1F"/>
        </w:rPr>
        <w:t>-r</w:t>
      </w:r>
      <w:r>
        <w:rPr>
          <w:rStyle w:val="NormalTok"/>
          <w:rFonts w:eastAsia="Consolas" w:cs="Consolas"/>
          <w:noProof/>
          <w:color w:val="1F1F1F"/>
        </w:rPr>
        <w:t xml:space="preserve"> requirements/protocol.txt</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pip install </w:t>
      </w:r>
      <w:r>
        <w:rPr>
          <w:rStyle w:val="AttributeTok"/>
          <w:rFonts w:eastAsia="Consolas" w:cs="Consolas"/>
          <w:noProof/>
          <w:color w:val="1F1F1F"/>
        </w:rPr>
        <w:t>-r</w:t>
      </w:r>
      <w:r>
        <w:rPr>
          <w:rStyle w:val="NormalTok"/>
          <w:rFonts w:eastAsia="Consolas" w:cs="Consolas"/>
          <w:noProof/>
          <w:color w:val="1F1F1F"/>
        </w:rPr>
        <w:t xml:space="preserve"> requirements/nnunet.txt</w:t>
      </w:r>
    </w:p>
    <w:p w:rsidR="00914FAA" w:rsidRDefault="000E7DA8" w14:paraId="58CBD664" w14:textId="77777777">
      <w:r w:rsidR="6A5F4401">
        <w:rPr/>
        <w:t xml:space="preserve">Las rutas de los datos se configuran en </w:t>
      </w:r>
      <w:r w:rsidRPr="06910F8B" w:rsidR="6A5F4401">
        <w:rPr>
          <w:rFonts w:ascii="Consolas" w:hAnsi="Consolas" w:eastAsia="Consolas" w:cs="Consolas"/>
          <w:color w:val="auto"/>
          <w:sz w:val="22"/>
          <w:szCs w:val="22"/>
          <w:lang w:eastAsia="en-US" w:bidi="ar-SA"/>
        </w:rPr>
        <w:t>configs/dataset/brats_gli_2024.yaml</w:t>
      </w:r>
      <w:r w:rsidR="6A5F4401">
        <w:rPr/>
        <w:t xml:space="preserve"> y deben adaptarse al sistema donde se ejecute el proyecto. Las configuraciones de entrenamiento distinguen los entornos MPS y CUDA; no debe asumirse que los tiempos obtenidos en ambos son directamente comparables.</w:t>
      </w:r>
    </w:p>
    <w:p w:rsidR="06910F8B" w:rsidRDefault="06910F8B" w14:paraId="6BA911D1" w14:textId="7EC16723"/>
    <w:p w:rsidR="00914FAA" w:rsidRDefault="000E7DA8" w14:paraId="1EEC8DE0" w14:textId="77777777">
      <w:pPr>
        <w:pStyle w:val="Ttulo2"/>
      </w:pPr>
      <w:bookmarkStart w:name="_Toc1875663235" w:id="162"/>
      <w:bookmarkStart w:name="a.3.-control-de-calidad-y-particiones" w:id="163"/>
      <w:bookmarkEnd w:id="159"/>
      <w:r>
        <w:t>A.3. Control de calidad y particiones</w:t>
      </w:r>
      <w:bookmarkEnd w:id="162"/>
    </w:p>
    <w:p w:rsidR="00914FAA" w:rsidRDefault="000E7DA8" w14:paraId="740B9227" w14:textId="77777777">
      <w:r>
        <w:t>Desde la raíz del repositorio, el inventario y control de calidad se ejecutan con:</w:t>
      </w:r>
    </w:p>
    <w:p w:rsidR="00914FAA" w:rsidRDefault="000E7DA8" w14:paraId="7AF2E2D1" w14:textId="77777777">
      <w:pPr>
        <w:pStyle w:val="TFMCode"/>
        <w:widowControl w:val="0"/>
        <w:pBdr>
          <w:left w:val="single" w:color="ED7D31" w:sz="12" w:space="8"/>
        </w:pBdr>
        <w:shd w:val="clear" w:color="auto" w:fill="F2F2F2"/>
      </w:pPr>
      <w:r w:rsidRPr="06910F8B" w:rsidR="6A5F4401">
        <w:rPr>
          <w:rStyle w:val="ExtensionTok"/>
          <w:rFonts w:eastAsia="Consolas" w:cs="Consolas"/>
          <w:noProof/>
          <w:color w:val="1F1F1F"/>
        </w:rPr>
        <w:t>.venv/bin/python</w:t>
      </w:r>
      <w:r w:rsidRPr="06910F8B" w:rsidR="6A5F4401">
        <w:rPr>
          <w:rStyle w:val="NormalTok"/>
          <w:rFonts w:eastAsia="Consolas" w:cs="Consolas"/>
          <w:noProof/>
          <w:color w:val="1F1F1F"/>
        </w:rPr>
        <w:t xml:space="preserve"> </w:t>
      </w:r>
      <w:r w:rsidRPr="06910F8B" w:rsidR="6A5F4401">
        <w:rPr>
          <w:rStyle w:val="AttributeTok"/>
          <w:rFonts w:eastAsia="Consolas" w:cs="Consolas"/>
          <w:noProof/>
          <w:color w:val="1F1F1F"/>
        </w:rPr>
        <w:t>-m</w:t>
      </w:r>
      <w:r w:rsidRPr="06910F8B" w:rsidR="6A5F4401">
        <w:rPr>
          <w:rStyle w:val="NormalTok"/>
          <w:rFonts w:eastAsia="Consolas" w:cs="Consolas"/>
          <w:noProof/>
          <w:color w:val="1F1F1F"/>
        </w:rPr>
        <w:t xml:space="preserve"> tfm_brats.cli qc </w:t>
      </w:r>
      <w:r w:rsidRPr="06910F8B" w:rsidR="6A5F4401">
        <w:rPr>
          <w:rStyle w:val="DataTypeTok"/>
          <w:rFonts w:eastAsia="Consolas" w:cs="Consolas"/>
          <w:noProof/>
          <w:color w:val="1F1F1F"/>
        </w:rPr>
        <w:t>\</w:t>
      </w:r>
      <w:r>
        <w:br/>
      </w:r>
      <w:r w:rsidRPr="06910F8B" w:rsidR="6A5F4401">
        <w:rPr>
          <w:rStyle w:val="NormalTok"/>
          <w:rFonts w:eastAsia="Consolas" w:cs="Consolas"/>
          <w:noProof/>
          <w:color w:val="1F1F1F"/>
        </w:rPr>
        <w:t xml:space="preserve">  </w:t>
      </w:r>
      <w:r w:rsidRPr="06910F8B" w:rsidR="6A5F4401">
        <w:rPr>
          <w:rStyle w:val="AttributeTok"/>
          <w:rFonts w:eastAsia="Consolas" w:cs="Consolas"/>
          <w:noProof/>
          <w:color w:val="1F1F1F"/>
        </w:rPr>
        <w:t>--dataset-config</w:t>
      </w:r>
      <w:r w:rsidRPr="06910F8B" w:rsidR="6A5F4401">
        <w:rPr>
          <w:rStyle w:val="NormalTok"/>
          <w:rFonts w:eastAsia="Consolas" w:cs="Consolas"/>
          <w:noProof/>
          <w:color w:val="1F1F1F"/>
        </w:rPr>
        <w:t xml:space="preserve"> configs/dataset/brats_gli_2024.yaml </w:t>
      </w:r>
      <w:r w:rsidRPr="06910F8B" w:rsidR="6A5F4401">
        <w:rPr>
          <w:rStyle w:val="DataTypeTok"/>
          <w:rFonts w:eastAsia="Consolas" w:cs="Consolas"/>
          <w:noProof/>
          <w:color w:val="1F1F1F"/>
        </w:rPr>
        <w:t>\</w:t>
      </w:r>
      <w:r>
        <w:br/>
      </w:r>
      <w:r w:rsidRPr="06910F8B" w:rsidR="6A5F4401">
        <w:rPr>
          <w:rStyle w:val="NormalTok"/>
          <w:rFonts w:eastAsia="Consolas" w:cs="Consolas"/>
          <w:noProof/>
          <w:color w:val="1F1F1F"/>
        </w:rPr>
        <w:t xml:space="preserve">  </w:t>
      </w:r>
      <w:r w:rsidRPr="06910F8B" w:rsidR="6A5F4401">
        <w:rPr>
          <w:rStyle w:val="AttributeTok"/>
          <w:rFonts w:eastAsia="Consolas" w:cs="Consolas"/>
          <w:noProof/>
          <w:color w:val="1F1F1F"/>
        </w:rPr>
        <w:t>--output-csv</w:t>
      </w:r>
      <w:r w:rsidRPr="06910F8B" w:rsidR="6A5F4401">
        <w:rPr>
          <w:rStyle w:val="NormalTok"/>
          <w:rFonts w:eastAsia="Consolas" w:cs="Consolas"/>
          <w:noProof/>
          <w:color w:val="1F1F1F"/>
        </w:rPr>
        <w:t xml:space="preserve"> outputs/qc/brats_gli_2024_qc.csv </w:t>
      </w:r>
      <w:r w:rsidRPr="06910F8B" w:rsidR="6A5F4401">
        <w:rPr>
          <w:rStyle w:val="DataTypeTok"/>
          <w:rFonts w:eastAsia="Consolas" w:cs="Consolas"/>
          <w:noProof/>
          <w:color w:val="1F1F1F"/>
        </w:rPr>
        <w:t>\</w:t>
      </w:r>
      <w:r>
        <w:br/>
      </w:r>
      <w:r w:rsidRPr="06910F8B" w:rsidR="6A5F4401">
        <w:rPr>
          <w:rStyle w:val="NormalTok"/>
          <w:rFonts w:eastAsia="Consolas" w:cs="Consolas"/>
          <w:noProof/>
          <w:color w:val="1F1F1F"/>
        </w:rPr>
        <w:t xml:space="preserve">  </w:t>
      </w:r>
      <w:r w:rsidRPr="06910F8B" w:rsidR="6A5F4401">
        <w:rPr>
          <w:rStyle w:val="AttributeTok"/>
          <w:rFonts w:eastAsia="Consolas" w:cs="Consolas"/>
          <w:noProof/>
          <w:color w:val="1F1F1F"/>
        </w:rPr>
        <w:t>--output-json</w:t>
      </w:r>
      <w:r w:rsidRPr="06910F8B" w:rsidR="6A5F4401">
        <w:rPr>
          <w:rStyle w:val="NormalTok"/>
          <w:rFonts w:eastAsia="Consolas" w:cs="Consolas"/>
          <w:noProof/>
          <w:color w:val="1F1F1F"/>
        </w:rPr>
        <w:t xml:space="preserve"> outputs/qc/brats_gli_2024_qc_summary.json </w:t>
      </w:r>
      <w:r w:rsidRPr="06910F8B" w:rsidR="6A5F4401">
        <w:rPr>
          <w:rStyle w:val="DataTypeTok"/>
          <w:rFonts w:eastAsia="Consolas" w:cs="Consolas"/>
          <w:noProof/>
          <w:color w:val="1F1F1F"/>
        </w:rPr>
        <w:t>\</w:t>
      </w:r>
      <w:r>
        <w:br/>
      </w:r>
      <w:r w:rsidRPr="06910F8B" w:rsidR="6A5F4401">
        <w:rPr>
          <w:rStyle w:val="NormalTok"/>
          <w:rFonts w:eastAsia="Consolas" w:cs="Consolas"/>
          <w:noProof/>
          <w:color w:val="1F1F1F"/>
        </w:rPr>
        <w:t xml:space="preserve">  </w:t>
      </w:r>
      <w:r w:rsidRPr="06910F8B" w:rsidR="6A5F4401">
        <w:rPr>
          <w:rStyle w:val="AttributeTok"/>
          <w:rFonts w:eastAsia="Consolas" w:cs="Consolas"/>
          <w:noProof/>
          <w:color w:val="1F1F1F"/>
        </w:rPr>
        <w:t>--fail-on-problems</w:t>
      </w:r>
    </w:p>
    <w:p w:rsidR="06910F8B" w:rsidRDefault="06910F8B" w14:paraId="00230290" w14:textId="67ECDDB8"/>
    <w:p w:rsidR="00914FAA" w:rsidRDefault="000E7DA8" w14:paraId="52F4677B" w14:textId="77777777">
      <w:r>
        <w:t>Las particiones versionadas se regeneran mediante:</w:t>
      </w:r>
    </w:p>
    <w:p w:rsidR="00914FAA" w:rsidRDefault="000E7DA8" w14:paraId="0532C7C2"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splits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--qc-csv</w:t>
      </w:r>
      <w:r>
        <w:rPr>
          <w:rStyle w:val="NormalTok"/>
          <w:rFonts w:eastAsia="Consolas" w:cs="Consolas"/>
          <w:noProof/>
          <w:color w:val="1F1F1F"/>
        </w:rPr>
        <w:t xml:space="preserve"> outputs/qc/brats_gli_2024_qc.csv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--output-dir</w:t>
      </w:r>
      <w:r>
        <w:rPr>
          <w:rStyle w:val="NormalTok"/>
          <w:rFonts w:eastAsia="Consolas" w:cs="Consolas"/>
          <w:noProof/>
          <w:color w:val="1F1F1F"/>
        </w:rPr>
        <w:t xml:space="preserve"> outputs/splits/brats_gli_2024_seed20260526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--seed</w:t>
      </w:r>
      <w:r>
        <w:rPr>
          <w:rStyle w:val="NormalTok"/>
          <w:rFonts w:eastAsia="Consolas" w:cs="Consolas"/>
          <w:noProof/>
          <w:color w:val="1F1F1F"/>
        </w:rPr>
        <w:t xml:space="preserve"> 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--ratios</w:t>
      </w:r>
      <w:r>
        <w:rPr>
          <w:rStyle w:val="NormalTok"/>
          <w:rFonts w:eastAsia="Consolas" w:cs="Consolas"/>
          <w:noProof/>
          <w:color w:val="1F1F1F"/>
        </w:rPr>
        <w:t xml:space="preserve"> 70/15/15</w:t>
      </w:r>
    </w:p>
    <w:p w:rsidR="00914FAA" w:rsidRDefault="000E7DA8" w14:paraId="08260A70" w14:textId="77777777">
      <w:r w:rsidR="6A5F4401">
        <w:rPr/>
        <w:t>La separación se realizó a nivel de estudio. Debido al carácter longitudinal de BraTS-GLI 2024, no constituye una separación independiente por sujeto.</w:t>
      </w:r>
    </w:p>
    <w:p w:rsidR="06910F8B" w:rsidRDefault="06910F8B" w14:paraId="365D9A4E" w14:textId="71560C9C"/>
    <w:p w:rsidR="00914FAA" w:rsidRDefault="000E7DA8" w14:paraId="366B1D91" w14:textId="77777777">
      <w:pPr>
        <w:pStyle w:val="Ttulo2"/>
      </w:pPr>
      <w:bookmarkStart w:name="_Toc1979256580" w:id="164"/>
      <w:bookmarkStart w:name="Xf02684c5c8639b8cbe778e24ae87b212da573f4" w:id="165"/>
      <w:bookmarkEnd w:id="161"/>
      <w:r>
        <w:t>A.4. Entrenamiento, inferencia y evaluación MONAI</w:t>
      </w:r>
      <w:bookmarkEnd w:id="164"/>
    </w:p>
    <w:p w:rsidR="00914FAA" w:rsidRDefault="000E7DA8" w14:paraId="465A03F7" w14:textId="77777777">
      <w:r>
        <w:t>La siguiente ejecución reproduce la estructura de una corrida final de la Residual U-Net con concatenación. Para las demás variantes se sustituyen la configuración del modelo, el directorio de salida y la semilla.</w:t>
      </w:r>
    </w:p>
    <w:p w:rsidR="00914FAA" w:rsidRDefault="000E7DA8" w14:paraId="0656EEBB"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train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--model-config</w:t>
      </w:r>
      <w:r>
        <w:rPr>
          <w:rStyle w:val="NormalTok"/>
          <w:rFonts w:eastAsia="Consolas" w:cs="Consolas"/>
          <w:noProof/>
          <w:color w:val="1F1F1F"/>
        </w:rPr>
        <w:t xml:space="preserve"> configs/model/residual_unet_3d.yaml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--training-config</w:t>
      </w:r>
      <w:r>
        <w:rPr>
          <w:rStyle w:val="NormalTok"/>
          <w:rFonts w:eastAsia="Consolas" w:cs="Consolas"/>
          <w:noProof/>
          <w:color w:val="1F1F1F"/>
        </w:rPr>
        <w:t xml:space="preserve"> configs/training/mac_m4_pro_128_final.yaml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--split-dir</w:t>
      </w:r>
      <w:r>
        <w:rPr>
          <w:rStyle w:val="NormalTok"/>
          <w:rFonts w:eastAsia="Consolas" w:cs="Consolas"/>
          <w:noProof/>
          <w:color w:val="1F1F1F"/>
        </w:rPr>
        <w:t xml:space="preserve"> outputs/splits/brats_gli_2024_seed20260526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--output-dir</w:t>
      </w:r>
      <w:r>
        <w:rPr>
          <w:rStyle w:val="NormalTok"/>
          <w:rFonts w:eastAsia="Consolas" w:cs="Consolas"/>
          <w:noProof/>
          <w:color w:val="1F1F1F"/>
        </w:rPr>
        <w:t xml:space="preserve"> outputs/train/final_concat_seed20260526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--max-steps</w:t>
      </w:r>
      <w:r>
        <w:rPr>
          <w:rStyle w:val="NormalTok"/>
          <w:rFonts w:eastAsia="Consolas" w:cs="Consolas"/>
          <w:noProof/>
          <w:color w:val="1F1F1F"/>
        </w:rPr>
        <w:t xml:space="preserve"> 15000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--seed</w:t>
      </w:r>
      <w:r>
        <w:rPr>
          <w:rStyle w:val="NormalTok"/>
          <w:rFonts w:eastAsia="Consolas" w:cs="Consolas"/>
          <w:noProof/>
          <w:color w:val="1F1F1F"/>
        </w:rPr>
        <w:t xml:space="preserve"> 20260526</w:t>
      </w:r>
    </w:p>
    <w:p w:rsidR="00914FAA" w:rsidRDefault="000E7DA8" w14:paraId="501120CC" w14:textId="77777777">
      <w:r>
        <w:t>Las configuraciones principales de la ablación son:</w:t>
      </w:r>
    </w:p>
    <w:p w:rsidR="00914FAA" w:rsidRDefault="000E7DA8" w14:paraId="3C241A09" w14:textId="77777777">
      <w:pPr>
        <w:numPr>
          <w:ilvl w:val="0"/>
          <w:numId w:val="12"/>
        </w:numPr>
      </w:pPr>
      <w:r>
        <w:t>configs/model/residual_unet_3d.yaml;</w:t>
      </w:r>
    </w:p>
    <w:p w:rsidR="00914FAA" w:rsidRDefault="000E7DA8" w14:paraId="5007A2A3" w14:textId="77777777">
      <w:pPr>
        <w:numPr>
          <w:ilvl w:val="0"/>
          <w:numId w:val="12"/>
        </w:numPr>
      </w:pPr>
      <w:r>
        <w:t>configs/model/residual_unet_3d_global_weighted.yaml;</w:t>
      </w:r>
    </w:p>
    <w:p w:rsidR="00914FAA" w:rsidRDefault="000E7DA8" w14:paraId="4FF7191C" w14:textId="77777777">
      <w:pPr>
        <w:numPr>
          <w:ilvl w:val="0"/>
          <w:numId w:val="12"/>
        </w:numPr>
      </w:pPr>
      <w:r>
        <w:t>configs/model/residual_unet_3d_adaptive_gating.yaml;</w:t>
      </w:r>
    </w:p>
    <w:p w:rsidR="00914FAA" w:rsidRDefault="000E7DA8" w14:paraId="558B3577" w14:textId="77777777">
      <w:pPr>
        <w:numPr>
          <w:ilvl w:val="0"/>
          <w:numId w:val="12"/>
        </w:numPr>
      </w:pPr>
      <w:r>
        <w:t>configs/model/residual_unet_3d_adaptive_gating_meanstd.yaml.</w:t>
      </w:r>
    </w:p>
    <w:p w:rsidR="00914FAA" w:rsidRDefault="000E7DA8" w14:paraId="588EFE74" w14:textId="77777777">
      <w:r>
        <w:t>Attention U-Net y Swin-UNETR emplean, respectivamente, configs/model/attention_unet_3d.yaml y configs/model/swin_unetr.yaml, junto con configs/training/colab_a100_final.yaml en las corridas A100.</w:t>
      </w:r>
    </w:p>
    <w:p w:rsidR="00914FAA" w:rsidRDefault="000E7DA8" w14:paraId="00C49B62" w14:textId="77777777">
      <w:r>
        <w:t>La inferencia y la evaluación de una corrida se ejecutan con:</w:t>
      </w:r>
    </w:p>
    <w:p w:rsidR="00914FAA" w:rsidRDefault="000E7DA8" w14:paraId="1189C004"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predict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--model-config</w:t>
      </w:r>
      <w:r>
        <w:rPr>
          <w:rStyle w:val="NormalTok"/>
          <w:rFonts w:eastAsia="Consolas" w:cs="Consolas"/>
          <w:noProof/>
          <w:color w:val="1F1F1F"/>
        </w:rPr>
        <w:t xml:space="preserve"> configs/model/residual_unet_3d.yaml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--training-config</w:t>
      </w:r>
      <w:r>
        <w:rPr>
          <w:rStyle w:val="NormalTok"/>
          <w:rFonts w:eastAsia="Consolas" w:cs="Consolas"/>
          <w:noProof/>
          <w:color w:val="1F1F1F"/>
        </w:rPr>
        <w:t xml:space="preserve"> configs/training/mac_m4_pro_128_final.yaml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--split-csv</w:t>
      </w:r>
      <w:r>
        <w:rPr>
          <w:rStyle w:val="NormalTok"/>
          <w:rFonts w:eastAsia="Consolas" w:cs="Consolas"/>
          <w:noProof/>
          <w:color w:val="1F1F1F"/>
        </w:rPr>
        <w:t xml:space="preserve"> outputs/splits/brats_gli_2024_seed20260526/test.csv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--checkpoint</w:t>
      </w:r>
      <w:r>
        <w:rPr>
          <w:rStyle w:val="NormalTok"/>
          <w:rFonts w:eastAsia="Consolas" w:cs="Consolas"/>
          <w:noProof/>
          <w:color w:val="1F1F1F"/>
        </w:rPr>
        <w:t xml:space="preserve"> outputs/train/final_concat_seed20260526/checkpoints/best.pt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--output-dir</w:t>
      </w:r>
      <w:r>
        <w:rPr>
          <w:rStyle w:val="NormalTok"/>
          <w:rFonts w:eastAsia="Consolas" w:cs="Consolas"/>
          <w:noProof/>
          <w:color w:val="1F1F1F"/>
        </w:rPr>
        <w:t xml:space="preserve"> outputs/predictions/final_concat_seed20260526_test</w:t>
      </w:r>
      <w:r>
        <w:rPr>
          <w:rFonts w:eastAsia="Consolas" w:cs="Consolas"/>
          <w:noProof/>
          <w:color w:val="1F1F1F"/>
        </w:rPr>
        <w:br/>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evaluate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--split-csv</w:t>
      </w:r>
      <w:r>
        <w:rPr>
          <w:rStyle w:val="NormalTok"/>
          <w:rFonts w:eastAsia="Consolas" w:cs="Consolas"/>
          <w:noProof/>
          <w:color w:val="1F1F1F"/>
        </w:rPr>
        <w:t xml:space="preserve"> outputs/splits/brats_gli_2024_seed20260526/test.csv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--predictions-dir</w:t>
      </w:r>
      <w:r>
        <w:rPr>
          <w:rStyle w:val="NormalTok"/>
          <w:rFonts w:eastAsia="Consolas" w:cs="Consolas"/>
          <w:noProof/>
          <w:color w:val="1F1F1F"/>
        </w:rPr>
        <w:t xml:space="preserve"> outputs/predictions/final_concat_seed20260526_test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--output-csv</w:t>
      </w:r>
      <w:r>
        <w:rPr>
          <w:rStyle w:val="NormalTok"/>
          <w:rFonts w:eastAsia="Consolas" w:cs="Consolas"/>
          <w:noProof/>
          <w:color w:val="1F1F1F"/>
        </w:rPr>
        <w:t xml:space="preserve"> outputs/evaluation/final_concat_seed20260526_test_metrics.csv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--output-json</w:t>
      </w:r>
      <w:r>
        <w:rPr>
          <w:rStyle w:val="NormalTok"/>
          <w:rFonts w:eastAsia="Consolas" w:cs="Consolas"/>
          <w:noProof/>
          <w:color w:val="1F1F1F"/>
        </w:rPr>
        <w:t xml:space="preserve"> outputs/evaluation/final_concat_seed20260526_test_metrics_summary.json</w:t>
      </w:r>
    </w:p>
    <w:p w:rsidR="00914FAA" w:rsidRDefault="000E7DA8" w14:paraId="6C9822E2" w14:textId="77777777">
      <w:pPr>
        <w:pStyle w:val="Ttulo2"/>
      </w:pPr>
      <w:bookmarkStart w:name="_Toc1083260297" w:id="166"/>
      <w:bookmarkStart w:name="a.5.-ruta-externa-nnu-net" w:id="167"/>
      <w:bookmarkEnd w:id="163"/>
      <w:r>
        <w:lastRenderedPageBreak/>
        <w:t>A.5. Ruta externa nnU-Net</w:t>
      </w:r>
      <w:bookmarkEnd w:id="166"/>
    </w:p>
    <w:p w:rsidR="00914FAA" w:rsidRDefault="000E7DA8" w14:paraId="237F1DBE" w14:textId="77777777">
      <w:r>
        <w:t xml:space="preserve">nnU-Net se ejecuta como un </w:t>
      </w:r>
      <w:r>
        <w:rPr>
          <w:i/>
          <w:iCs/>
        </w:rPr>
        <w:t>pipeline</w:t>
      </w:r>
      <w:r>
        <w:t xml:space="preserve"> externo, con planificación, preprocesamiento, aumentos y entrenamiento propios. Para reproducir la corrida final deben definirse primero sus tres directorios de trabajo en disco local:</w:t>
      </w:r>
    </w:p>
    <w:p w:rsidR="00914FAA" w:rsidRDefault="000E7DA8" w14:paraId="5EA4D7F7" w14:textId="77777777">
      <w:pPr>
        <w:pStyle w:val="TFMCode"/>
        <w:widowControl w:val="0"/>
        <w:pBdr>
          <w:left w:val="single" w:color="ED7D31" w:sz="12" w:space="8"/>
        </w:pBdr>
        <w:shd w:val="clear" w:color="auto" w:fill="F2F2F2"/>
      </w:pPr>
      <w:r>
        <w:rPr>
          <w:rStyle w:val="BuiltInTok"/>
          <w:rFonts w:eastAsia="Consolas" w:cs="Consolas"/>
          <w:noProof/>
          <w:color w:val="1F1F1F"/>
        </w:rPr>
        <w:t>export</w:t>
      </w:r>
      <w:r>
        <w:rPr>
          <w:rStyle w:val="NormalTok"/>
          <w:rFonts w:eastAsia="Consolas" w:cs="Consolas"/>
          <w:noProof/>
          <w:color w:val="1F1F1F"/>
        </w:rPr>
        <w:t xml:space="preserve"> </w:t>
      </w:r>
      <w:r>
        <w:rPr>
          <w:rStyle w:val="VariableTok"/>
          <w:rFonts w:eastAsia="Consolas" w:cs="Consolas"/>
          <w:noProof/>
          <w:color w:val="1F1F1F"/>
        </w:rPr>
        <w:t>nnUNet_raw</w:t>
      </w:r>
      <w:r>
        <w:rPr>
          <w:rStyle w:val="OperatorTok"/>
          <w:rFonts w:eastAsia="Consolas" w:cs="Consolas"/>
          <w:noProof/>
          <w:color w:val="1F1F1F"/>
        </w:rPr>
        <w:t>=</w:t>
      </w:r>
      <w:r>
        <w:rPr>
          <w:rStyle w:val="NormalTok"/>
          <w:rFonts w:eastAsia="Consolas" w:cs="Consolas"/>
          <w:noProof/>
          <w:color w:val="1F1F1F"/>
        </w:rPr>
        <w:t>/content/nnUNet_raw</w:t>
      </w:r>
      <w:r>
        <w:rPr>
          <w:rFonts w:eastAsia="Consolas" w:cs="Consolas"/>
          <w:noProof/>
          <w:color w:val="1F1F1F"/>
        </w:rPr>
        <w:br/>
      </w:r>
      <w:r>
        <w:rPr>
          <w:rStyle w:val="BuiltInTok"/>
          <w:rFonts w:eastAsia="Consolas" w:cs="Consolas"/>
          <w:noProof/>
          <w:color w:val="1F1F1F"/>
        </w:rPr>
        <w:t>export</w:t>
      </w:r>
      <w:r>
        <w:rPr>
          <w:rStyle w:val="NormalTok"/>
          <w:rFonts w:eastAsia="Consolas" w:cs="Consolas"/>
          <w:noProof/>
          <w:color w:val="1F1F1F"/>
        </w:rPr>
        <w:t xml:space="preserve"> </w:t>
      </w:r>
      <w:r>
        <w:rPr>
          <w:rStyle w:val="VariableTok"/>
          <w:rFonts w:eastAsia="Consolas" w:cs="Consolas"/>
          <w:noProof/>
          <w:color w:val="1F1F1F"/>
        </w:rPr>
        <w:t>nnUNet_preprocessed</w:t>
      </w:r>
      <w:r>
        <w:rPr>
          <w:rStyle w:val="OperatorTok"/>
          <w:rFonts w:eastAsia="Consolas" w:cs="Consolas"/>
          <w:noProof/>
          <w:color w:val="1F1F1F"/>
        </w:rPr>
        <w:t>=</w:t>
      </w:r>
      <w:r>
        <w:rPr>
          <w:rStyle w:val="NormalTok"/>
          <w:rFonts w:eastAsia="Consolas" w:cs="Consolas"/>
          <w:noProof/>
          <w:color w:val="1F1F1F"/>
        </w:rPr>
        <w:t>/content/nnUNet_preprocessed</w:t>
      </w:r>
      <w:r>
        <w:rPr>
          <w:rFonts w:eastAsia="Consolas" w:cs="Consolas"/>
          <w:noProof/>
          <w:color w:val="1F1F1F"/>
        </w:rPr>
        <w:br/>
      </w:r>
      <w:r>
        <w:rPr>
          <w:rStyle w:val="BuiltInTok"/>
          <w:rFonts w:eastAsia="Consolas" w:cs="Consolas"/>
          <w:noProof/>
          <w:color w:val="1F1F1F"/>
        </w:rPr>
        <w:t>export</w:t>
      </w:r>
      <w:r>
        <w:rPr>
          <w:rStyle w:val="NormalTok"/>
          <w:rFonts w:eastAsia="Consolas" w:cs="Consolas"/>
          <w:noProof/>
          <w:color w:val="1F1F1F"/>
        </w:rPr>
        <w:t xml:space="preserve"> </w:t>
      </w:r>
      <w:r>
        <w:rPr>
          <w:rStyle w:val="VariableTok"/>
          <w:rFonts w:eastAsia="Consolas" w:cs="Consolas"/>
          <w:noProof/>
          <w:color w:val="1F1F1F"/>
        </w:rPr>
        <w:t>nnUNet_results</w:t>
      </w:r>
      <w:r>
        <w:rPr>
          <w:rStyle w:val="OperatorTok"/>
          <w:rFonts w:eastAsia="Consolas" w:cs="Consolas"/>
          <w:noProof/>
          <w:color w:val="1F1F1F"/>
        </w:rPr>
        <w:t>=</w:t>
      </w:r>
      <w:r>
        <w:rPr>
          <w:rStyle w:val="NormalTok"/>
          <w:rFonts w:eastAsia="Consolas" w:cs="Consolas"/>
          <w:noProof/>
          <w:color w:val="1F1F1F"/>
        </w:rPr>
        <w:t>/content/nnUNet_results</w:t>
      </w:r>
    </w:p>
    <w:p w:rsidR="00914FAA" w:rsidRDefault="000E7DA8" w14:paraId="74FE05AE" w14:textId="77777777">
      <w:r>
        <w:t>La conversión parte de las particiones versionadas. En la reproducción final, imagesTr y labelsTr proceden de train.csv, mientras que imagesTs se genera directamente a partir de test.csv:</w:t>
      </w:r>
    </w:p>
    <w:p w:rsidR="00914FAA" w:rsidRDefault="000E7DA8" w14:paraId="502CD414"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scripts/nnunet/prepare_brats_gli_nnunet_full.py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--split-dir</w:t>
      </w:r>
      <w:r>
        <w:rPr>
          <w:rStyle w:val="NormalTok"/>
          <w:rFonts w:eastAsia="Consolas" w:cs="Consolas"/>
          <w:noProof/>
          <w:color w:val="1F1F1F"/>
        </w:rPr>
        <w:t xml:space="preserve"> outputs/splits/brats_gli_2024_seed20260526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--train-split</w:t>
      </w:r>
      <w:r>
        <w:rPr>
          <w:rStyle w:val="NormalTok"/>
          <w:rFonts w:eastAsia="Consolas" w:cs="Consolas"/>
          <w:noProof/>
          <w:color w:val="1F1F1F"/>
        </w:rPr>
        <w:t xml:space="preserve"> train.csv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--test-split</w:t>
      </w:r>
      <w:r>
        <w:rPr>
          <w:rStyle w:val="NormalTok"/>
          <w:rFonts w:eastAsia="Consolas" w:cs="Consolas"/>
          <w:noProof/>
          <w:color w:val="1F1F1F"/>
        </w:rPr>
        <w:t xml:space="preserve"> test.csv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--nnunet-raw</w:t>
      </w:r>
      <w:r>
        <w:rPr>
          <w:rStyle w:val="NormalTok"/>
          <w:rFonts w:eastAsia="Consolas" w:cs="Consolas"/>
          <w:noProof/>
          <w:color w:val="1F1F1F"/>
        </w:rPr>
        <w:t xml:space="preserve"> </w:t>
      </w:r>
      <w:r>
        <w:rPr>
          <w:rStyle w:val="StringTok"/>
          <w:rFonts w:eastAsia="Consolas" w:cs="Consolas"/>
          <w:noProof/>
          <w:color w:val="1F1F1F"/>
        </w:rPr>
        <w:t>"</w:t>
      </w:r>
      <w:r>
        <w:rPr>
          <w:rStyle w:val="VariableTok"/>
          <w:rFonts w:eastAsia="Consolas" w:cs="Consolas"/>
          <w:noProof/>
          <w:color w:val="1F1F1F"/>
        </w:rPr>
        <w:t>$nnUNet_raw</w:t>
      </w:r>
      <w:r>
        <w:rPr>
          <w:rStyle w:val="StringTok"/>
          <w:rFonts w:eastAsia="Consolas" w:cs="Consolas"/>
          <w:noProof/>
          <w:color w:val="1F1F1F"/>
        </w:rPr>
        <w:t>"</w:t>
      </w:r>
      <w:r>
        <w:rPr>
          <w:rStyle w:val="NormalTok"/>
          <w:rFonts w:eastAsia="Consolas" w:cs="Consolas"/>
          <w:noProof/>
          <w:color w:val="1F1F1F"/>
        </w:rPr>
        <w:t xml:space="preserv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--dataset-id</w:t>
      </w:r>
      <w:r>
        <w:rPr>
          <w:rStyle w:val="NormalTok"/>
          <w:rFonts w:eastAsia="Consolas" w:cs="Consolas"/>
          <w:noProof/>
          <w:color w:val="1F1F1F"/>
        </w:rPr>
        <w:t xml:space="preserve"> 725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--dataset-name</w:t>
      </w:r>
      <w:r>
        <w:rPr>
          <w:rStyle w:val="NormalTok"/>
          <w:rFonts w:eastAsia="Consolas" w:cs="Consolas"/>
          <w:noProof/>
          <w:color w:val="1F1F1F"/>
        </w:rPr>
        <w:t xml:space="preserve"> BraTSGLI2024</w:t>
      </w:r>
      <w:r>
        <w:rPr>
          <w:rFonts w:eastAsia="Consolas" w:cs="Consolas"/>
          <w:noProof/>
          <w:color w:val="1F1F1F"/>
        </w:rPr>
        <w:br/>
      </w:r>
      <w:r>
        <w:rPr>
          <w:rFonts w:eastAsia="Consolas" w:cs="Consolas"/>
          <w:noProof/>
          <w:color w:val="1F1F1F"/>
        </w:rPr>
        <w:br/>
      </w:r>
      <w:r>
        <w:rPr>
          <w:rStyle w:val="ExtensionTok"/>
          <w:rFonts w:eastAsia="Consolas" w:cs="Consolas"/>
          <w:noProof/>
          <w:color w:val="1F1F1F"/>
        </w:rPr>
        <w:t>.venv/bin/nnUNetv2_plan_and_preprocess</w:t>
      </w:r>
      <w:r>
        <w:rPr>
          <w:rStyle w:val="NormalTok"/>
          <w:rFonts w:eastAsia="Consolas" w:cs="Consolas"/>
          <w:noProof/>
          <w:color w:val="1F1F1F"/>
        </w:rPr>
        <w:t xml:space="preserve"> </w:t>
      </w:r>
      <w:r>
        <w:rPr>
          <w:rStyle w:val="AttributeTok"/>
          <w:rFonts w:eastAsia="Consolas" w:cs="Consolas"/>
          <w:noProof/>
          <w:color w:val="1F1F1F"/>
        </w:rPr>
        <w:t>-d</w:t>
      </w:r>
      <w:r>
        <w:rPr>
          <w:rStyle w:val="NormalTok"/>
          <w:rFonts w:eastAsia="Consolas" w:cs="Consolas"/>
          <w:noProof/>
          <w:color w:val="1F1F1F"/>
        </w:rPr>
        <w:t xml:space="preserve"> 725 </w:t>
      </w:r>
      <w:r>
        <w:rPr>
          <w:rStyle w:val="AttributeTok"/>
          <w:rFonts w:eastAsia="Consolas" w:cs="Consolas"/>
          <w:noProof/>
          <w:color w:val="1F1F1F"/>
        </w:rPr>
        <w:t>--verify_dataset_integrity</w:t>
      </w:r>
      <w:r>
        <w:rPr>
          <w:rFonts w:eastAsia="Consolas" w:cs="Consolas"/>
          <w:noProof/>
          <w:color w:val="1F1F1F"/>
        </w:rPr>
        <w:br/>
      </w:r>
      <w:r>
        <w:rPr>
          <w:rStyle w:val="ExtensionTok"/>
          <w:rFonts w:eastAsia="Consolas" w:cs="Consolas"/>
          <w:noProof/>
          <w:color w:val="1F1F1F"/>
        </w:rPr>
        <w:t>.venv/bin/nnUNetv2_train</w:t>
      </w:r>
      <w:r>
        <w:rPr>
          <w:rStyle w:val="NormalTok"/>
          <w:rFonts w:eastAsia="Consolas" w:cs="Consolas"/>
          <w:noProof/>
          <w:color w:val="1F1F1F"/>
        </w:rPr>
        <w:t xml:space="preserve"> 725 3d_fullres 0 </w:t>
      </w:r>
      <w:r>
        <w:rPr>
          <w:rStyle w:val="AttributeTok"/>
          <w:rFonts w:eastAsia="Consolas" w:cs="Consolas"/>
          <w:noProof/>
          <w:color w:val="1F1F1F"/>
        </w:rPr>
        <w:t>-tr</w:t>
      </w:r>
      <w:r>
        <w:rPr>
          <w:rStyle w:val="NormalTok"/>
          <w:rFonts w:eastAsia="Consolas" w:cs="Consolas"/>
          <w:noProof/>
          <w:color w:val="1F1F1F"/>
        </w:rPr>
        <w:t xml:space="preserve"> nnUNetTrainer_250epochs</w:t>
      </w:r>
      <w:r>
        <w:rPr>
          <w:rFonts w:eastAsia="Consolas" w:cs="Consolas"/>
          <w:noProof/>
          <w:color w:val="1F1F1F"/>
        </w:rPr>
        <w:br/>
      </w:r>
      <w:r>
        <w:rPr>
          <w:rFonts w:eastAsia="Consolas" w:cs="Consolas"/>
          <w:noProof/>
          <w:color w:val="1F1F1F"/>
        </w:rPr>
        <w:br/>
      </w:r>
      <w:r>
        <w:rPr>
          <w:rStyle w:val="ExtensionTok"/>
          <w:rFonts w:eastAsia="Consolas" w:cs="Consolas"/>
          <w:noProof/>
          <w:color w:val="1F1F1F"/>
        </w:rPr>
        <w:t>.venv/bin/nnUNetv2_predict</w:t>
      </w:r>
      <w:r>
        <w:rPr>
          <w:rStyle w:val="NormalTok"/>
          <w:rFonts w:eastAsia="Consolas" w:cs="Consolas"/>
          <w:noProof/>
          <w:color w:val="1F1F1F"/>
        </w:rPr>
        <w:t xml:space="preserv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-i</w:t>
      </w:r>
      <w:r>
        <w:rPr>
          <w:rStyle w:val="NormalTok"/>
          <w:rFonts w:eastAsia="Consolas" w:cs="Consolas"/>
          <w:noProof/>
          <w:color w:val="1F1F1F"/>
        </w:rPr>
        <w:t xml:space="preserve"> </w:t>
      </w:r>
      <w:r>
        <w:rPr>
          <w:rStyle w:val="StringTok"/>
          <w:rFonts w:eastAsia="Consolas" w:cs="Consolas"/>
          <w:noProof/>
          <w:color w:val="1F1F1F"/>
        </w:rPr>
        <w:t>"</w:t>
      </w:r>
      <w:r>
        <w:rPr>
          <w:rStyle w:val="VariableTok"/>
          <w:rFonts w:eastAsia="Consolas" w:cs="Consolas"/>
          <w:noProof/>
          <w:color w:val="1F1F1F"/>
        </w:rPr>
        <w:t>$nnUNet_raw</w:t>
      </w:r>
      <w:r>
        <w:rPr>
          <w:rStyle w:val="StringTok"/>
          <w:rFonts w:eastAsia="Consolas" w:cs="Consolas"/>
          <w:noProof/>
          <w:color w:val="1F1F1F"/>
        </w:rPr>
        <w:t>/Dataset725_BraTSGLI2024/imagesTs"</w:t>
      </w:r>
      <w:r>
        <w:rPr>
          <w:rStyle w:val="NormalTok"/>
          <w:rFonts w:eastAsia="Consolas" w:cs="Consolas"/>
          <w:noProof/>
          <w:color w:val="1F1F1F"/>
        </w:rPr>
        <w:t xml:space="preserv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w:t>
      </w:r>
      <w:r>
        <w:rPr>
          <w:rStyle w:val="NormalTok"/>
          <w:rFonts w:eastAsia="Consolas" w:cs="Consolas"/>
          <w:noProof/>
          <w:color w:val="1F1F1F"/>
        </w:rPr>
        <w:t xml:space="preserve"> /content/nnunet_pred_test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w:t>
      </w:r>
      <w:r>
        <w:rPr>
          <w:rStyle w:val="NormalTok"/>
          <w:rFonts w:eastAsia="Consolas" w:cs="Consolas"/>
          <w:noProof/>
          <w:color w:val="1F1F1F"/>
        </w:rPr>
        <w:t xml:space="preserve"> 725 </w:t>
      </w:r>
      <w:r>
        <w:rPr>
          <w:rStyle w:val="AttributeTok"/>
          <w:rFonts w:eastAsia="Consolas" w:cs="Consolas"/>
          <w:noProof/>
          <w:color w:val="1F1F1F"/>
        </w:rPr>
        <w:t>-c</w:t>
      </w:r>
      <w:r>
        <w:rPr>
          <w:rStyle w:val="NormalTok"/>
          <w:rFonts w:eastAsia="Consolas" w:cs="Consolas"/>
          <w:noProof/>
          <w:color w:val="1F1F1F"/>
        </w:rPr>
        <w:t xml:space="preserve"> 3d_fullres </w:t>
      </w:r>
      <w:r>
        <w:rPr>
          <w:rStyle w:val="AttributeTok"/>
          <w:rFonts w:eastAsia="Consolas" w:cs="Consolas"/>
          <w:noProof/>
          <w:color w:val="1F1F1F"/>
        </w:rPr>
        <w:t>-f</w:t>
      </w:r>
      <w:r>
        <w:rPr>
          <w:rStyle w:val="NormalTok"/>
          <w:rFonts w:eastAsia="Consolas" w:cs="Consolas"/>
          <w:noProof/>
          <w:color w:val="1F1F1F"/>
        </w:rPr>
        <w:t xml:space="preserve"> 0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-tr</w:t>
      </w:r>
      <w:r>
        <w:rPr>
          <w:rStyle w:val="NormalTok"/>
          <w:rFonts w:eastAsia="Consolas" w:cs="Consolas"/>
          <w:noProof/>
          <w:color w:val="1F1F1F"/>
        </w:rPr>
        <w:t xml:space="preserve"> nnUNetTrainer_250epochs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-chk</w:t>
      </w:r>
      <w:r>
        <w:rPr>
          <w:rStyle w:val="NormalTok"/>
          <w:rFonts w:eastAsia="Consolas" w:cs="Consolas"/>
          <w:noProof/>
          <w:color w:val="1F1F1F"/>
        </w:rPr>
        <w:t xml:space="preserve"> checkpoint_best.pth</w:t>
      </w:r>
      <w:r>
        <w:rPr>
          <w:rFonts w:eastAsia="Consolas" w:cs="Consolas"/>
          <w:noProof/>
          <w:color w:val="1F1F1F"/>
        </w:rPr>
        <w:br/>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tfm_brats.cli evaluate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--dataset-config</w:t>
      </w:r>
      <w:r>
        <w:rPr>
          <w:rStyle w:val="NormalTok"/>
          <w:rFonts w:eastAsia="Consolas" w:cs="Consolas"/>
          <w:noProof/>
          <w:color w:val="1F1F1F"/>
        </w:rPr>
        <w:t xml:space="preserve"> configs/dataset/brats_gli_2024.yaml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--split-csv</w:t>
      </w:r>
      <w:r>
        <w:rPr>
          <w:rStyle w:val="NormalTok"/>
          <w:rFonts w:eastAsia="Consolas" w:cs="Consolas"/>
          <w:noProof/>
          <w:color w:val="1F1F1F"/>
        </w:rPr>
        <w:t xml:space="preserve"> outputs/splits/brats_gli_2024_seed20260526/test.csv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--predictions-dir</w:t>
      </w:r>
      <w:r>
        <w:rPr>
          <w:rStyle w:val="NormalTok"/>
          <w:rFonts w:eastAsia="Consolas" w:cs="Consolas"/>
          <w:noProof/>
          <w:color w:val="1F1F1F"/>
        </w:rPr>
        <w:t xml:space="preserve"> /content/nnunet_pred_test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--output-csv</w:t>
      </w:r>
      <w:r>
        <w:rPr>
          <w:rStyle w:val="NormalTok"/>
          <w:rFonts w:eastAsia="Consolas" w:cs="Consolas"/>
          <w:noProof/>
          <w:color w:val="1F1F1F"/>
        </w:rPr>
        <w:t xml:space="preserve"> outputs/evaluation/nnunet_3dfullres_test_metrics.csv </w:t>
      </w:r>
      <w:r>
        <w:rPr>
          <w:rStyle w:val="DataTypeTok"/>
          <w:rFonts w:eastAsia="Consolas" w:cs="Consolas"/>
          <w:noProof/>
          <w:color w:val="1F1F1F"/>
        </w:rPr>
        <w:t>\</w:t>
      </w:r>
      <w:r>
        <w:rPr>
          <w:rFonts w:eastAsia="Consolas" w:cs="Consolas"/>
          <w:noProof/>
          <w:color w:val="1F1F1F"/>
        </w:rPr>
        <w:br/>
      </w:r>
      <w:r>
        <w:rPr>
          <w:rStyle w:val="NormalTok"/>
          <w:rFonts w:eastAsia="Consolas" w:cs="Consolas"/>
          <w:noProof/>
          <w:color w:val="1F1F1F"/>
        </w:rPr>
        <w:t xml:space="preserve">  </w:t>
      </w:r>
      <w:r>
        <w:rPr>
          <w:rStyle w:val="AttributeTok"/>
          <w:rFonts w:eastAsia="Consolas" w:cs="Consolas"/>
          <w:noProof/>
          <w:color w:val="1F1F1F"/>
        </w:rPr>
        <w:t>--output-json</w:t>
      </w:r>
      <w:r>
        <w:rPr>
          <w:rStyle w:val="NormalTok"/>
          <w:rFonts w:eastAsia="Consolas" w:cs="Consolas"/>
          <w:noProof/>
          <w:color w:val="1F1F1F"/>
        </w:rPr>
        <w:t xml:space="preserve"> outputs/evaluation/nnunet_3dfullres_test_metrics_summary.json</w:t>
      </w:r>
    </w:p>
    <w:p w:rsidR="00914FAA" w:rsidRDefault="000E7DA8" w14:paraId="62D0E472" w14:textId="77777777">
      <w:r w:rsidR="6A5F4401">
        <w:rPr/>
        <w:t xml:space="preserve">La guía operativa completa, incluida la comprobación preliminar sobre validación, se conserva en docs/nnunet-baseline.md. La referencia reportada en la memoria corresponde únicamente al </w:t>
      </w:r>
      <w:r w:rsidRPr="06910F8B" w:rsidR="6A5F4401">
        <w:rPr>
          <w:i w:val="1"/>
          <w:iCs w:val="1"/>
        </w:rPr>
        <w:t>fold</w:t>
      </w:r>
      <w:r w:rsidR="6A5F4401">
        <w:rPr/>
        <w:t xml:space="preserve"> 0 y no proporciona variabilidad entre repeticiones. Los comandos anteriores llegan hasta la evaluación común sobre los 243 estudios de test de la que procede el Dice medio 0,829.</w:t>
      </w:r>
    </w:p>
    <w:p w:rsidR="06910F8B" w:rsidRDefault="06910F8B" w14:paraId="236EF1EE" w14:textId="70987320"/>
    <w:p w:rsidR="00914FAA" w:rsidRDefault="000E7DA8" w14:paraId="02D8D9D0" w14:textId="77777777">
      <w:pPr>
        <w:pStyle w:val="Ttulo2"/>
      </w:pPr>
      <w:bookmarkStart w:name="_Toc460052290" w:id="168"/>
      <w:bookmarkStart w:name="a.6.-verificación-y-figuras" w:id="169"/>
      <w:bookmarkEnd w:id="165"/>
      <w:r>
        <w:t>A.6. Verificación y figuras</w:t>
      </w:r>
      <w:bookmarkEnd w:id="168"/>
    </w:p>
    <w:p w:rsidR="00914FAA" w:rsidRDefault="000E7DA8" w14:paraId="54289F5B" w14:textId="77777777">
      <w:r>
        <w:t>Las comprobaciones locales del código y la regeneración de las figuras se realizan mediante:</w:t>
      </w:r>
    </w:p>
    <w:p w:rsidR="00914FAA" w:rsidRDefault="000E7DA8" w14:paraId="35765900" w14:textId="77777777">
      <w:pPr>
        <w:pStyle w:val="TFMCode"/>
        <w:widowControl w:val="0"/>
        <w:pBdr>
          <w:left w:val="single" w:color="ED7D31" w:sz="12" w:space="8"/>
        </w:pBdr>
        <w:shd w:val="clear" w:color="auto" w:fill="F2F2F2"/>
      </w:pP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compileall </w:t>
      </w:r>
      <w:r>
        <w:rPr>
          <w:rStyle w:val="AttributeTok"/>
          <w:rFonts w:eastAsia="Consolas" w:cs="Consolas"/>
          <w:noProof/>
          <w:color w:val="1F1F1F"/>
        </w:rPr>
        <w:t>-q</w:t>
      </w:r>
      <w:r>
        <w:rPr>
          <w:rStyle w:val="NormalTok"/>
          <w:rFonts w:eastAsia="Consolas" w:cs="Consolas"/>
          <w:noProof/>
          <w:color w:val="1F1F1F"/>
        </w:rPr>
        <w:t xml:space="preserve"> tfm_brats scripts tests</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w:t>
      </w:r>
      <w:r>
        <w:rPr>
          <w:rStyle w:val="AttributeTok"/>
          <w:rFonts w:eastAsia="Consolas" w:cs="Consolas"/>
          <w:noProof/>
          <w:color w:val="1F1F1F"/>
        </w:rPr>
        <w:t>-m</w:t>
      </w:r>
      <w:r>
        <w:rPr>
          <w:rStyle w:val="NormalTok"/>
          <w:rFonts w:eastAsia="Consolas" w:cs="Consolas"/>
          <w:noProof/>
          <w:color w:val="1F1F1F"/>
        </w:rPr>
        <w:t xml:space="preserve"> unittest discover </w:t>
      </w:r>
      <w:r>
        <w:rPr>
          <w:rStyle w:val="AttributeTok"/>
          <w:rFonts w:eastAsia="Consolas" w:cs="Consolas"/>
          <w:noProof/>
          <w:color w:val="1F1F1F"/>
        </w:rPr>
        <w:t>-s</w:t>
      </w:r>
      <w:r>
        <w:rPr>
          <w:rStyle w:val="NormalTok"/>
          <w:rFonts w:eastAsia="Consolas" w:cs="Consolas"/>
          <w:noProof/>
          <w:color w:val="1F1F1F"/>
        </w:rPr>
        <w:t xml:space="preserve"> tests </w:t>
      </w:r>
      <w:r>
        <w:rPr>
          <w:rStyle w:val="AttributeTok"/>
          <w:rFonts w:eastAsia="Consolas" w:cs="Consolas"/>
          <w:noProof/>
          <w:color w:val="1F1F1F"/>
        </w:rPr>
        <w:t>-v</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scripts/draw_diagrams.py</w:t>
      </w:r>
      <w:r>
        <w:rPr>
          <w:rFonts w:eastAsia="Consolas" w:cs="Consolas"/>
          <w:noProof/>
          <w:color w:val="1F1F1F"/>
        </w:rPr>
        <w:br/>
      </w:r>
      <w:r>
        <w:rPr>
          <w:rStyle w:val="ExtensionTok"/>
          <w:rFonts w:eastAsia="Consolas" w:cs="Consolas"/>
          <w:noProof/>
          <w:color w:val="1F1F1F"/>
        </w:rPr>
        <w:t>.venv/bin/python</w:t>
      </w:r>
      <w:r>
        <w:rPr>
          <w:rStyle w:val="NormalTok"/>
          <w:rFonts w:eastAsia="Consolas" w:cs="Consolas"/>
          <w:noProof/>
          <w:color w:val="1F1F1F"/>
        </w:rPr>
        <w:t xml:space="preserve"> scripts/make_figures.py</w:t>
      </w:r>
    </w:p>
    <w:p w:rsidR="00914FAA" w:rsidRDefault="000E7DA8" w14:paraId="184137E8" w14:textId="77777777">
      <w:r w:rsidRPr="06910F8B" w:rsidR="6A5F4401">
        <w:rPr>
          <w:rFonts w:ascii="Consolas" w:hAnsi="Consolas" w:eastAsia="Consolas" w:cs="Consolas"/>
        </w:rPr>
        <w:t>scripts/make_figures.py</w:t>
      </w:r>
      <w:r w:rsidR="6A5F4401">
        <w:rPr/>
        <w:t xml:space="preserve"> requiere que las predicciones NIfTI utilizadas por las comparaciones cualitativas estén disponibles en las rutas esperadas bajo </w:t>
      </w:r>
      <w:r w:rsidRPr="06910F8B" w:rsidR="6A5F4401">
        <w:rPr>
          <w:rFonts w:ascii="Consolas" w:hAnsi="Consolas" w:eastAsia="Consolas" w:cs="Consolas"/>
        </w:rPr>
        <w:t>outputs/predictions/.</w:t>
      </w:r>
    </w:p>
    <w:p w:rsidR="06910F8B" w:rsidRDefault="06910F8B" w14:paraId="5942BA51" w14:textId="2DD99B15"/>
    <w:p w:rsidR="00914FAA" w:rsidRDefault="000E7DA8" w14:paraId="190A9022" w14:textId="77777777">
      <w:pPr>
        <w:pStyle w:val="Ttulo2"/>
      </w:pPr>
      <w:bookmarkStart w:name="_Toc906817442" w:id="170"/>
      <w:bookmarkStart w:name="a.7.-artefactos-y-política-de-versionado" w:id="171"/>
      <w:bookmarkEnd w:id="167"/>
      <w:r>
        <w:lastRenderedPageBreak/>
        <w:t>A.7. Artefactos y política de versionado</w:t>
      </w:r>
      <w:bookmarkEnd w:id="170"/>
    </w:p>
    <w:p w:rsidR="00914FAA" w:rsidRDefault="000E7DA8" w14:paraId="45481B74" w14:textId="77777777">
      <w:r>
        <w:t>La Tabla A.1 diferencia los artefactos necesarios para auditar el trabajo de aquellos que no pueden distribuirse en el repositorio por tamaño o por las condiciones de acceso a los datos.</w:t>
      </w:r>
    </w:p>
    <w:tbl>
      <w:tblPr>
        <w:tblStyle w:val="Tablaconcuadrcula"/>
        <w:tblW w:w="8504" w:type="dxa"/>
        <w:jc w:val="center"/>
        <w:tblBorders>
          <w:top w:val="single" w:color="BFBFBF" w:sz="5" w:space="0"/>
          <w:left w:val="single" w:color="BFBFBF" w:sz="5" w:space="0"/>
          <w:bottom w:val="single" w:color="BFBFBF" w:sz="5" w:space="0"/>
          <w:right w:val="single" w:color="BFBFBF" w:sz="5" w:space="0"/>
          <w:insideH w:val="single" w:color="BFBFBF" w:sz="5" w:space="0"/>
          <w:insideV w:val="single" w:color="BFBFBF" w:sz="5" w:space="0"/>
        </w:tblBorders>
        <w:tblLayout w:type="fixed"/>
        <w:tblLook w:val="0020" w:firstRow="1" w:lastRow="0" w:firstColumn="0" w:lastColumn="0" w:noHBand="0" w:noVBand="0"/>
      </w:tblPr>
      <w:tblGrid>
        <w:gridCol w:w="2834"/>
        <w:gridCol w:w="2835"/>
        <w:gridCol w:w="2835"/>
      </w:tblGrid>
      <w:tr w:rsidR="00914FAA" w:rsidTr="06910F8B" w14:paraId="56C11DEE" w14:textId="77777777">
        <w:trPr>
          <w:cantSplit/>
          <w:tblHeader/>
          <w:jc w:val="center"/>
        </w:trPr>
        <w:tc>
          <w:tcPr>
            <w:tcW w:w="2835" w:type="dxa"/>
            <w:shd w:val="clear" w:color="auto" w:fill="ED7D31"/>
            <w:tcMar>
              <w:top w:w="70" w:type="dxa"/>
              <w:left w:w="70" w:type="dxa"/>
              <w:bottom w:w="70" w:type="dxa"/>
              <w:right w:w="70" w:type="dxa"/>
            </w:tcMar>
            <w:vAlign w:val="center"/>
          </w:tcPr>
          <w:p w:rsidR="00914FAA" w:rsidP="06910F8B" w:rsidRDefault="000E7DA8" w14:paraId="7A520655"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Tipo</w:t>
            </w:r>
          </w:p>
        </w:tc>
        <w:tc>
          <w:tcPr>
            <w:tcW w:w="2835" w:type="dxa"/>
            <w:shd w:val="clear" w:color="auto" w:fill="ED7D31"/>
            <w:tcMar>
              <w:top w:w="70" w:type="dxa"/>
              <w:left w:w="70" w:type="dxa"/>
              <w:bottom w:w="70" w:type="dxa"/>
              <w:right w:w="70" w:type="dxa"/>
            </w:tcMar>
            <w:vAlign w:val="center"/>
          </w:tcPr>
          <w:p w:rsidR="00914FAA" w:rsidP="06910F8B" w:rsidRDefault="000E7DA8" w14:paraId="37C9D8E0"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Contenido</w:t>
            </w:r>
          </w:p>
        </w:tc>
        <w:tc>
          <w:tcPr>
            <w:tcW w:w="2835" w:type="dxa"/>
            <w:shd w:val="clear" w:color="auto" w:fill="ED7D31"/>
            <w:tcMar>
              <w:top w:w="70" w:type="dxa"/>
              <w:left w:w="70" w:type="dxa"/>
              <w:bottom w:w="70" w:type="dxa"/>
              <w:right w:w="70" w:type="dxa"/>
            </w:tcMar>
            <w:vAlign w:val="center"/>
          </w:tcPr>
          <w:p w:rsidR="00914FAA" w:rsidP="06910F8B" w:rsidRDefault="000E7DA8" w14:paraId="5591D5BA" w14:textId="77777777">
            <w:pPr>
              <w:spacing w:after="0" w:line="240" w:lineRule="auto"/>
              <w:jc w:val="center"/>
              <w:rPr>
                <w:rFonts w:eastAsia="Arial"/>
                <w:b w:val="1"/>
                <w:bCs w:val="1"/>
                <w:color w:val="FFFFFF" w:themeColor="background1" w:themeTint="FF" w:themeShade="FF"/>
                <w:sz w:val="20"/>
                <w:szCs w:val="20"/>
              </w:rPr>
            </w:pPr>
            <w:r w:rsidRPr="06910F8B" w:rsidR="6A5F4401">
              <w:rPr>
                <w:rFonts w:eastAsia="Arial"/>
                <w:b w:val="1"/>
                <w:bCs w:val="1"/>
                <w:color w:val="FFFFFF" w:themeColor="background1" w:themeTint="FF" w:themeShade="FF"/>
                <w:sz w:val="20"/>
                <w:szCs w:val="20"/>
              </w:rPr>
              <w:t>Política</w:t>
            </w:r>
          </w:p>
        </w:tc>
      </w:tr>
      <w:tr w:rsidR="00914FAA" w:rsidTr="06910F8B" w14:paraId="36C2A7C4" w14:textId="77777777">
        <w:trPr>
          <w:cantSplit/>
          <w:jc w:val="center"/>
        </w:trPr>
        <w:tc>
          <w:tcPr>
            <w:tcW w:w="2835" w:type="dxa"/>
            <w:shd w:val="clear" w:color="auto" w:fill="FFFFFF" w:themeFill="background1"/>
            <w:tcMar>
              <w:top w:w="70" w:type="dxa"/>
              <w:left w:w="70" w:type="dxa"/>
              <w:bottom w:w="70" w:type="dxa"/>
              <w:right w:w="70" w:type="dxa"/>
            </w:tcMar>
            <w:vAlign w:val="center"/>
          </w:tcPr>
          <w:p w:rsidR="00914FAA" w:rsidP="06910F8B" w:rsidRDefault="000E7DA8" w14:paraId="49A619BD"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Código y pruebas</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04363F2E"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tfm_brats/, scripts/, tests/</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3022812F"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Versionado</w:t>
            </w:r>
          </w:p>
        </w:tc>
      </w:tr>
      <w:tr w:rsidR="00914FAA" w:rsidTr="06910F8B" w14:paraId="4A5428F5" w14:textId="77777777">
        <w:trPr>
          <w:cantSplit/>
          <w:jc w:val="center"/>
        </w:trPr>
        <w:tc>
          <w:tcPr>
            <w:tcW w:w="2835" w:type="dxa"/>
            <w:shd w:val="clear" w:color="auto" w:fill="FCE4D6"/>
            <w:tcMar>
              <w:top w:w="70" w:type="dxa"/>
              <w:left w:w="70" w:type="dxa"/>
              <w:bottom w:w="70" w:type="dxa"/>
              <w:right w:w="70" w:type="dxa"/>
            </w:tcMar>
            <w:vAlign w:val="center"/>
          </w:tcPr>
          <w:p w:rsidR="00914FAA" w:rsidP="06910F8B" w:rsidRDefault="000E7DA8" w14:paraId="64AACCD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Configuraciones</w:t>
            </w:r>
          </w:p>
        </w:tc>
        <w:tc>
          <w:tcPr>
            <w:tcW w:w="2835" w:type="dxa"/>
            <w:shd w:val="clear" w:color="auto" w:fill="FCE4D6"/>
            <w:tcMar>
              <w:top w:w="70" w:type="dxa"/>
              <w:left w:w="70" w:type="dxa"/>
              <w:bottom w:w="70" w:type="dxa"/>
              <w:right w:w="70" w:type="dxa"/>
            </w:tcMar>
            <w:vAlign w:val="center"/>
          </w:tcPr>
          <w:p w:rsidR="00914FAA" w:rsidP="06910F8B" w:rsidRDefault="000E7DA8" w14:paraId="078033C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configs/dataset/, configs/model/, configs/training/, configs/nnunet/</w:t>
            </w:r>
          </w:p>
        </w:tc>
        <w:tc>
          <w:tcPr>
            <w:tcW w:w="2835" w:type="dxa"/>
            <w:shd w:val="clear" w:color="auto" w:fill="FCE4D6"/>
            <w:tcMar>
              <w:top w:w="70" w:type="dxa"/>
              <w:left w:w="70" w:type="dxa"/>
              <w:bottom w:w="70" w:type="dxa"/>
              <w:right w:w="70" w:type="dxa"/>
            </w:tcMar>
            <w:vAlign w:val="center"/>
          </w:tcPr>
          <w:p w:rsidR="00914FAA" w:rsidP="06910F8B" w:rsidRDefault="000E7DA8" w14:paraId="5C4E7E6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Versionado</w:t>
            </w:r>
          </w:p>
        </w:tc>
      </w:tr>
      <w:tr w:rsidR="00914FAA" w:rsidTr="06910F8B" w14:paraId="3BD8E126" w14:textId="77777777">
        <w:trPr>
          <w:cantSplit/>
          <w:jc w:val="center"/>
        </w:trPr>
        <w:tc>
          <w:tcPr>
            <w:tcW w:w="2835" w:type="dxa"/>
            <w:shd w:val="clear" w:color="auto" w:fill="FFFFFF" w:themeFill="background1"/>
            <w:tcMar>
              <w:top w:w="70" w:type="dxa"/>
              <w:left w:w="70" w:type="dxa"/>
              <w:bottom w:w="70" w:type="dxa"/>
              <w:right w:w="70" w:type="dxa"/>
            </w:tcMar>
            <w:vAlign w:val="center"/>
          </w:tcPr>
          <w:p w:rsidR="00914FAA" w:rsidP="06910F8B" w:rsidRDefault="000E7DA8" w14:paraId="19B41C4B"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Trazabilidad de datos</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2DAE223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Resúmenes de QC y particiones bajo outputs/qc/ y outputs/splits/</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0C628D71"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Versionado</w:t>
            </w:r>
          </w:p>
        </w:tc>
      </w:tr>
      <w:tr w:rsidR="00914FAA" w:rsidTr="06910F8B" w14:paraId="0A31F197" w14:textId="77777777">
        <w:trPr>
          <w:cantSplit/>
          <w:jc w:val="center"/>
        </w:trPr>
        <w:tc>
          <w:tcPr>
            <w:tcW w:w="2835" w:type="dxa"/>
            <w:shd w:val="clear" w:color="auto" w:fill="FCE4D6"/>
            <w:tcMar>
              <w:top w:w="70" w:type="dxa"/>
              <w:left w:w="70" w:type="dxa"/>
              <w:bottom w:w="70" w:type="dxa"/>
              <w:right w:w="70" w:type="dxa"/>
            </w:tcMar>
            <w:vAlign w:val="center"/>
          </w:tcPr>
          <w:p w:rsidR="00914FAA" w:rsidP="06910F8B" w:rsidRDefault="000E7DA8" w14:paraId="0A42320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Resultados ligeros</w:t>
            </w:r>
          </w:p>
        </w:tc>
        <w:tc>
          <w:tcPr>
            <w:tcW w:w="2835" w:type="dxa"/>
            <w:shd w:val="clear" w:color="auto" w:fill="FCE4D6"/>
            <w:tcMar>
              <w:top w:w="70" w:type="dxa"/>
              <w:left w:w="70" w:type="dxa"/>
              <w:bottom w:w="70" w:type="dxa"/>
              <w:right w:w="70" w:type="dxa"/>
            </w:tcMar>
            <w:vAlign w:val="center"/>
          </w:tcPr>
          <w:p w:rsidR="00914FAA" w:rsidP="06910F8B" w:rsidRDefault="000E7DA8" w14:paraId="28859AA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CSV y JSON de métricas bajo outputs/evaluation/</w:t>
            </w:r>
          </w:p>
        </w:tc>
        <w:tc>
          <w:tcPr>
            <w:tcW w:w="2835" w:type="dxa"/>
            <w:shd w:val="clear" w:color="auto" w:fill="FCE4D6"/>
            <w:tcMar>
              <w:top w:w="70" w:type="dxa"/>
              <w:left w:w="70" w:type="dxa"/>
              <w:bottom w:w="70" w:type="dxa"/>
              <w:right w:w="70" w:type="dxa"/>
            </w:tcMar>
            <w:vAlign w:val="center"/>
          </w:tcPr>
          <w:p w:rsidR="00914FAA" w:rsidP="06910F8B" w:rsidRDefault="000E7DA8" w14:paraId="288B7C72"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Versionado</w:t>
            </w:r>
          </w:p>
        </w:tc>
      </w:tr>
      <w:tr w:rsidR="00914FAA" w:rsidTr="06910F8B" w14:paraId="58CD0F2A" w14:textId="77777777">
        <w:trPr>
          <w:cantSplit/>
          <w:jc w:val="center"/>
        </w:trPr>
        <w:tc>
          <w:tcPr>
            <w:tcW w:w="2835" w:type="dxa"/>
            <w:shd w:val="clear" w:color="auto" w:fill="FFFFFF" w:themeFill="background1"/>
            <w:tcMar>
              <w:top w:w="70" w:type="dxa"/>
              <w:left w:w="70" w:type="dxa"/>
              <w:bottom w:w="70" w:type="dxa"/>
              <w:right w:w="70" w:type="dxa"/>
            </w:tcMar>
            <w:vAlign w:val="center"/>
          </w:tcPr>
          <w:p w:rsidR="00914FAA" w:rsidP="06910F8B" w:rsidRDefault="000E7DA8" w14:paraId="390DEEF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Memoria y figuras</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6695740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docs/memoria/ y scripts generadores</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0E9081B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Versionado</w:t>
            </w:r>
          </w:p>
        </w:tc>
      </w:tr>
      <w:tr w:rsidR="00914FAA" w:rsidTr="06910F8B" w14:paraId="7541D461" w14:textId="77777777">
        <w:trPr>
          <w:cantSplit/>
          <w:jc w:val="center"/>
        </w:trPr>
        <w:tc>
          <w:tcPr>
            <w:tcW w:w="2835" w:type="dxa"/>
            <w:shd w:val="clear" w:color="auto" w:fill="FCE4D6"/>
            <w:tcMar>
              <w:top w:w="70" w:type="dxa"/>
              <w:left w:w="70" w:type="dxa"/>
              <w:bottom w:w="70" w:type="dxa"/>
              <w:right w:w="70" w:type="dxa"/>
            </w:tcMar>
            <w:vAlign w:val="center"/>
          </w:tcPr>
          <w:p w:rsidR="00914FAA" w:rsidP="06910F8B" w:rsidRDefault="000E7DA8" w14:paraId="4DCB9540"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Datos médicos</w:t>
            </w:r>
          </w:p>
        </w:tc>
        <w:tc>
          <w:tcPr>
            <w:tcW w:w="2835" w:type="dxa"/>
            <w:shd w:val="clear" w:color="auto" w:fill="FCE4D6"/>
            <w:tcMar>
              <w:top w:w="70" w:type="dxa"/>
              <w:left w:w="70" w:type="dxa"/>
              <w:bottom w:w="70" w:type="dxa"/>
              <w:right w:w="70" w:type="dxa"/>
            </w:tcMar>
            <w:vAlign w:val="center"/>
          </w:tcPr>
          <w:p w:rsidR="00914FAA" w:rsidP="06910F8B" w:rsidRDefault="000E7DA8" w14:paraId="16298DAC"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Volúmenes NIfTI originales y derivados</w:t>
            </w:r>
          </w:p>
        </w:tc>
        <w:tc>
          <w:tcPr>
            <w:tcW w:w="2835" w:type="dxa"/>
            <w:shd w:val="clear" w:color="auto" w:fill="FCE4D6"/>
            <w:tcMar>
              <w:top w:w="70" w:type="dxa"/>
              <w:left w:w="70" w:type="dxa"/>
              <w:bottom w:w="70" w:type="dxa"/>
              <w:right w:w="70" w:type="dxa"/>
            </w:tcMar>
            <w:vAlign w:val="center"/>
          </w:tcPr>
          <w:p w:rsidR="00914FAA" w:rsidP="06910F8B" w:rsidRDefault="000E7DA8" w14:paraId="532CB5A8"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No versionado</w:t>
            </w:r>
          </w:p>
        </w:tc>
      </w:tr>
      <w:tr w:rsidR="00914FAA" w:rsidTr="06910F8B" w14:paraId="6708FD23" w14:textId="77777777">
        <w:trPr>
          <w:cantSplit/>
          <w:jc w:val="center"/>
        </w:trPr>
        <w:tc>
          <w:tcPr>
            <w:tcW w:w="2835" w:type="dxa"/>
            <w:shd w:val="clear" w:color="auto" w:fill="FFFFFF" w:themeFill="background1"/>
            <w:tcMar>
              <w:top w:w="70" w:type="dxa"/>
              <w:left w:w="70" w:type="dxa"/>
              <w:bottom w:w="70" w:type="dxa"/>
              <w:right w:w="70" w:type="dxa"/>
            </w:tcMar>
            <w:vAlign w:val="center"/>
          </w:tcPr>
          <w:p w:rsidR="00914FAA" w:rsidP="06910F8B" w:rsidRDefault="000E7DA8" w14:paraId="797D9215"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Salidas pesadas</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615A31C7"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 xml:space="preserve">Predicciones NIfTI, </w:t>
            </w:r>
            <w:r w:rsidRPr="06910F8B" w:rsidR="6A5F4401">
              <w:rPr>
                <w:rFonts w:eastAsia="Arial"/>
                <w:i w:val="1"/>
                <w:iCs w:val="1"/>
                <w:color w:val="000000" w:themeColor="text1" w:themeTint="FF" w:themeShade="FF"/>
                <w:sz w:val="20"/>
                <w:szCs w:val="20"/>
              </w:rPr>
              <w:t>checkpoints</w:t>
            </w:r>
            <w:r w:rsidRPr="06910F8B" w:rsidR="6A5F4401">
              <w:rPr>
                <w:rFonts w:eastAsia="Arial"/>
                <w:color w:val="000000" w:themeColor="text1" w:themeTint="FF" w:themeShade="FF"/>
                <w:sz w:val="20"/>
                <w:szCs w:val="20"/>
              </w:rPr>
              <w:t>, directorios outputs/train/ y artefactos internos de nnU-Net</w:t>
            </w:r>
          </w:p>
        </w:tc>
        <w:tc>
          <w:tcPr>
            <w:tcW w:w="2835" w:type="dxa"/>
            <w:shd w:val="clear" w:color="auto" w:fill="FFFFFF" w:themeFill="background1"/>
            <w:tcMar>
              <w:top w:w="70" w:type="dxa"/>
              <w:left w:w="70" w:type="dxa"/>
              <w:bottom w:w="70" w:type="dxa"/>
              <w:right w:w="70" w:type="dxa"/>
            </w:tcMar>
            <w:vAlign w:val="center"/>
          </w:tcPr>
          <w:p w:rsidR="00914FAA" w:rsidP="06910F8B" w:rsidRDefault="000E7DA8" w14:paraId="5C348CC3" w14:textId="77777777">
            <w:pPr>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No versionado</w:t>
            </w:r>
          </w:p>
        </w:tc>
      </w:tr>
      <w:tr w:rsidR="00914FAA" w:rsidTr="06910F8B" w14:paraId="52A98B0B" w14:textId="77777777">
        <w:trPr>
          <w:cantSplit/>
          <w:jc w:val="center"/>
        </w:trPr>
        <w:tc>
          <w:tcPr>
            <w:tcW w:w="2835" w:type="dxa"/>
            <w:shd w:val="clear" w:color="auto" w:fill="FCE4D6"/>
            <w:tcMar>
              <w:top w:w="70" w:type="dxa"/>
              <w:left w:w="70" w:type="dxa"/>
              <w:bottom w:w="70" w:type="dxa"/>
              <w:right w:w="70" w:type="dxa"/>
            </w:tcMar>
            <w:vAlign w:val="center"/>
          </w:tcPr>
          <w:p w:rsidR="00914FAA" w:rsidP="06910F8B" w:rsidRDefault="000E7DA8" w14:paraId="5EE421EC"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Registros externos</w:t>
            </w:r>
          </w:p>
        </w:tc>
        <w:tc>
          <w:tcPr>
            <w:tcW w:w="2835" w:type="dxa"/>
            <w:shd w:val="clear" w:color="auto" w:fill="FCE4D6"/>
            <w:tcMar>
              <w:top w:w="70" w:type="dxa"/>
              <w:left w:w="70" w:type="dxa"/>
              <w:bottom w:w="70" w:type="dxa"/>
              <w:right w:w="70" w:type="dxa"/>
            </w:tcMar>
            <w:vAlign w:val="center"/>
          </w:tcPr>
          <w:p w:rsidR="00914FAA" w:rsidP="06910F8B" w:rsidRDefault="000E7DA8" w14:paraId="70F63E63"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Artefactos completos de las corridas A100 y nnU-Net conservados fuera del repositorio</w:t>
            </w:r>
          </w:p>
        </w:tc>
        <w:tc>
          <w:tcPr>
            <w:tcW w:w="2835" w:type="dxa"/>
            <w:shd w:val="clear" w:color="auto" w:fill="FCE4D6"/>
            <w:tcMar>
              <w:top w:w="70" w:type="dxa"/>
              <w:left w:w="70" w:type="dxa"/>
              <w:bottom w:w="70" w:type="dxa"/>
              <w:right w:w="70" w:type="dxa"/>
            </w:tcMar>
            <w:vAlign w:val="center"/>
          </w:tcPr>
          <w:p w:rsidR="00914FAA" w:rsidP="06910F8B" w:rsidRDefault="000E7DA8" w14:paraId="31C44C22" w14:textId="77777777">
            <w:pPr>
              <w:keepNext w:val="1"/>
              <w:spacing w:after="0" w:line="240" w:lineRule="auto"/>
              <w:jc w:val="left"/>
              <w:rPr>
                <w:rFonts w:eastAsia="Arial"/>
                <w:color w:val="000000" w:themeColor="text1" w:themeTint="FF" w:themeShade="FF"/>
                <w:sz w:val="20"/>
                <w:szCs w:val="20"/>
              </w:rPr>
            </w:pPr>
            <w:r w:rsidRPr="06910F8B" w:rsidR="6A5F4401">
              <w:rPr>
                <w:rFonts w:eastAsia="Arial"/>
                <w:color w:val="000000" w:themeColor="text1" w:themeTint="FF" w:themeShade="FF"/>
                <w:sz w:val="20"/>
                <w:szCs w:val="20"/>
              </w:rPr>
              <w:t>No versionado; su ubicación depende del entorno del autor</w:t>
            </w:r>
          </w:p>
        </w:tc>
      </w:tr>
    </w:tbl>
    <w:p w:rsidR="00914FAA" w:rsidRDefault="000E7DA8" w14:paraId="4D4804E7" w14:textId="77777777">
      <w:pPr>
        <w:pStyle w:val="Descripcin"/>
        <w:keepLines/>
      </w:pPr>
      <w:bookmarkStart w:name="_Toc235507374" w:id="172"/>
      <w:r>
        <w:rPr>
          <w:b/>
        </w:rPr>
        <w:t>Tabla A.</w:t>
      </w:r>
      <w:r>
        <w:fldChar w:fldCharType="begin"/>
      </w:r>
      <w:r>
        <w:instrText xml:space="preserve"> SEQ Tabla \r 1 \* ARABIC </w:instrText>
      </w:r>
      <w:r>
        <w:fldChar w:fldCharType="separate"/>
      </w:r>
      <w:r>
        <w:rPr>
          <w:b/>
        </w:rPr>
        <w:t>1</w:t>
      </w:r>
      <w:r>
        <w:fldChar w:fldCharType="end"/>
      </w:r>
      <w:r>
        <w:rPr>
          <w:b/>
        </w:rPr>
        <w:t xml:space="preserve">. </w:t>
      </w:r>
      <w:r>
        <w:t>Artefactos del proyecto y política de versionado.</w:t>
      </w:r>
      <w:bookmarkEnd w:id="172"/>
    </w:p>
    <w:p w:rsidR="00914FAA" w:rsidRDefault="000E7DA8" w14:paraId="5EF0FEF0" w14:textId="77777777">
      <w:r>
        <w:t>La tabla muestra que el repositorio conserva el código, las configuraciones y las métricas ligeras, pero no constituye por sí solo un paquete autocontenido de reproducción: los datos protegidos y las salidas pesadas deben obtenerse o conservarse por separado.</w:t>
      </w:r>
    </w:p>
    <w:p w:rsidR="00914FAA" w:rsidRDefault="000E7DA8" w14:paraId="5E71220A" w14:textId="77777777">
      <w:r>
        <w:t xml:space="preserve">El fichero .gitignore excluye explícitamente los NIfTI, </w:t>
      </w:r>
      <w:r>
        <w:rPr>
          <w:i/>
          <w:iCs/>
        </w:rPr>
        <w:t>checkpoints</w:t>
      </w:r>
      <w:r>
        <w:t>, predicciones, entornos virtuales y directorios generados por nnU-Net.</w:t>
      </w:r>
    </w:p>
    <w:p w:rsidR="00914FAA" w:rsidRDefault="000E7DA8" w14:paraId="3533C634" w14:textId="77777777">
      <w:pPr>
        <w:pStyle w:val="Ttulo2"/>
      </w:pPr>
      <w:bookmarkStart w:name="_Toc349370203" w:id="173"/>
      <w:bookmarkStart w:name="X2241c11ddde5cea59d39f4f693df400c6f60f6b" w:id="174"/>
      <w:bookmarkEnd w:id="169"/>
      <w:r>
        <w:t>A.8. Condiciones de acceso a los datos y límites de reproducción</w:t>
      </w:r>
      <w:bookmarkEnd w:id="173"/>
    </w:p>
    <w:p w:rsidR="00914FAA" w:rsidRDefault="000E7DA8" w14:paraId="1E479A4D" w14:textId="77777777">
      <w:r>
        <w:t xml:space="preserve">BraTS-GLI 2024 se obtuvo a través del </w:t>
      </w:r>
      <w:hyperlink r:id="rId51">
        <w:r>
          <w:rPr>
            <w:rStyle w:val="Hipervnculo"/>
          </w:rPr>
          <w:t>proyecto oficial del reto en Synapse</w:t>
        </w:r>
      </w:hyperlink>
      <w:r>
        <w:t xml:space="preserve"> y está sujeto a sus condiciones de acceso y uso. El repositorio no redistribuye las imágenes, máscaras ni derivados que permitan reconstruir los datos originales. Cada persona que reproduzca los experimentos debe solicitar su propio acceso, aceptar las condiciones vigentes en la plataforma y respetar los requisitos de uso y citación del conjunto; no debe inferirse una licencia general de los datos a partir de las licencias del software.</w:t>
      </w:r>
    </w:p>
    <w:p w:rsidR="00914FAA" w:rsidRDefault="000E7DA8" w14:paraId="3BF7348B" w14:textId="77777777">
      <w:r>
        <w:t>En el momento de redactar este apéndice el repositorio no contiene un fichero LICENSE para el código. Antes de hacerlo público debe definirse explícitamente la licencia del software; la licencia del código no modifica ni sustituye la licencia de los datos.</w:t>
      </w:r>
    </w:p>
    <w:p w:rsidR="00914FAA" w:rsidRDefault="000E7DA8" w14:paraId="15A797A8" w14:textId="77777777">
      <w:r>
        <w:lastRenderedPageBreak/>
        <w:t xml:space="preserve">La reproducción exacta también está limitada por el coste de entrenar modelos 3D, la posible variabilidad no determinista de algunas operaciones CUDA/MPS, la ausencia de los </w:t>
      </w:r>
      <w:r>
        <w:rPr>
          <w:i/>
          <w:iCs/>
        </w:rPr>
        <w:t>checkpoints</w:t>
      </w:r>
      <w:r>
        <w:t xml:space="preserve"> pesados en Git y la instrumentación incompleta y heterogénea de tiempo y memoria entre entornos.</w:t>
      </w:r>
      <w:bookmarkEnd w:id="171"/>
      <w:bookmarkEnd w:id="174"/>
    </w:p>
    <w:proofErr w:type="spellEnd"/>
    <w:sectPr w:rsidR="00914FAA">
      <w:headerReference w:type="even" r:id="rId52"/>
      <w:headerReference w:type="default" r:id="rId53"/>
      <w:footerReference w:type="even" r:id="rId54"/>
      <w:footerReference w:type="default" r:id="rId55"/>
      <w:pgSz w:w="11906" w:h="16838" w:orient="portrait"/>
      <w:pgMar w:top="2492" w:right="1701" w:bottom="1244" w:left="1701" w:header="708" w:footer="708" w:gutter="0"/>
      <w:cols w:space="720"/>
      <w:formProt w:val="0"/>
      <w:docGrid w:linePitch="360"/>
    </w:sectPr>
  </w:body>
</w:document>
</file>

<file path=word/comments.xml><?xml version="1.0" encoding="utf-8"?>
<w:comments xmlns:w="http://schemas.openxmlformats.org/wordprocessingml/2006/main">
  <w:comment w:id="0" w:author="Revisión editorial" w:initials="RE" w:date="2026-07-23T09:59:00Z">
    <w:p>
      <w:pPr>
        <w:pStyle w:val="CommentText"/>
      </w:pPr>
      <w:r>
        <w:rPr>
          <w:rStyle w:val="CommentReference"/>
        </w:rPr>
        <w:annotationRef/>
      </w:r>
      <w:r>
        <w:t xml:space="preserve">[ALTA · alcance y título]</w:t>
      </w:r>
    </w:p>
    <w:p>
      <w:pPr>
        <w:pStyle w:val="CommentText"/>
      </w:pPr>
      <w:r>
        <w:t xml:space="preserve">Esta copia mantiene íntegro el texto original y añade sugerencias para que la memoria refleje mejor tus decisiones, evidencias y límites. No aceptes una propuesta si no describe lo que realmente hiciste.</w:t>
      </w:r>
    </w:p>
    <w:p>
      <w:pPr>
        <w:pStyle w:val="CommentText"/>
      </w:pPr>
      <w:r>
        <w:t xml:space="preserve">Revisa además si el título representa la contribución principal: el experimento central estudia reglas ligeras de fusión sobre una Residual U-Net, mientras que Swin-UNETR es una referencia contextual. Si el título todavía puede cambiarse, una alternativa más ajustada sería: «Segmentación 3D de gliomas en resonancia magnética multimodal: estudio controlado de estrategias ligeras de fusión». Confírmalo antes con la tutora.</w:t>
      </w:r>
    </w:p>
    <w:p>
      <w:pPr>
        <w:pStyle w:val="CommentText"/>
      </w:pPr>
      <w:r>
        <w:t xml:space="preserve">Haz también una revisión terminológica global: «pipeline»/«sistema», «corrida»/«ejecución», «baseline»/«referencia», MRI/RM y Swin UNETR/Swin-UNETR.</w:t>
      </w:r>
    </w:p>
  </w:comment>
  <w:comment w:id="1" w:author="Revisión editorial" w:initials="RE" w:date="2026-07-23T09:59:00Z">
    <w:p>
      <w:pPr>
        <w:pStyle w:val="CommentText"/>
      </w:pPr>
      <w:r>
        <w:rPr>
          <w:rStyle w:val="CommentReference"/>
        </w:rPr>
        <w:annotationRef/>
      </w:r>
      <w:r>
        <w:t xml:space="preserve">[COMPROBACIÓN · portada]</w:t>
      </w:r>
    </w:p>
    <w:p>
      <w:pPr>
        <w:pStyle w:val="CommentText"/>
      </w:pPr>
      <w:r>
        <w:t xml:space="preserve">Comprueba el formato exigido por la plantilla para la fecha y el curso académico. «OCTUBRE-26» y «OCTUBRE 25» pueden interpretarse como datos incoherentes o incompletos. Esta revisión no los modifica porque deben confirmarse con la convocatoria real.</w:t>
      </w:r>
    </w:p>
  </w:comment>
  <w:comment w:id="2" w:author="Revisión editorial" w:initials="RE" w:date="2026-07-23T09:59:00Z">
    <w:p>
      <w:pPr>
        <w:pStyle w:val="CommentText"/>
      </w:pPr>
      <w:r>
        <w:rPr>
          <w:rStyle w:val="CommentReference"/>
        </w:rPr>
        <w:annotationRef/>
      </w:r>
      <w:r>
        <w:t xml:space="preserve">[ALTA · resumen]</w:t>
      </w:r>
    </w:p>
    <w:p>
      <w:pPr>
        <w:pStyle w:val="CommentText"/>
      </w:pPr>
      <w:r>
        <w:t xml:space="preserve">«Sistema experimental reproducible» es correcto, pero abstracto. Sustitúyelo por evidencias verificables. Posible enfoque:</w:t>
      </w:r>
    </w:p>
    <w:p>
      <w:pPr>
        <w:pStyle w:val="CommentText"/>
      </w:pPr>
      <w:r>
        <w:t xml:space="preserve">«Sobre 1.621 estudios de BraTS-GLI 2024 se implementó un pipeline MONAI con particiones versionadas, configuraciones YAML y tres semillas por estrategia. Manteniendo fija la Residual U-Net 3D, se compararon…»</w:t>
      </w:r>
    </w:p>
    <w:p>
      <w:pPr>
        <w:pStyle w:val="CommentText"/>
      </w:pPr>
      <w:r>
        <w:t xml:space="preserve">Decide qué dos o tres elementos son esenciales; el resumen no necesita enumerar todo el repositorio. Si la normativa admite primera persona, también puedes usar «implementé» para las decisiones propias.</w:t>
      </w:r>
    </w:p>
  </w:comment>
  <w:comment w:id="3" w:author="Revisión editorial" w:initials="RE" w:date="2026-07-23T09:59:00Z">
    <w:p>
      <w:pPr>
        <w:pStyle w:val="CommentText"/>
      </w:pPr>
      <w:r>
        <w:rPr>
          <w:rStyle w:val="CommentReference"/>
        </w:rPr>
        <w:annotationRef/>
      </w:r>
      <w:r>
        <w:t xml:space="preserve">[MEDIA · correspondencia del Abstract]</w:t>
      </w:r>
    </w:p>
    <w:p>
      <w:pPr>
        <w:pStyle w:val="CommentText"/>
      </w:pPr>
      <w:r>
        <w:t xml:space="preserve">No revises el inglés por separado todavía. Cierra primero la versión española del resumen y tradúcela después, conservando el mismo orden: problema, datos/protocolo, resultado, interpretación y limitación. Así evitarás que ambas versiones terminen haciendo afirmaciones distintas.</w:t>
      </w:r>
    </w:p>
    <w:p>
      <w:pPr>
        <w:pStyle w:val="CommentText"/>
      </w:pPr>
      <w:r>
        <w:t xml:space="preserve">Cuando concretes «reproducible» en español, traslada aquí exactamente las mismas evidencias.</w:t>
      </w:r>
    </w:p>
  </w:comment>
  <w:comment w:id="4" w:author="Revisión editorial" w:initials="RE" w:date="2026-07-23T09:59:00Z">
    <w:p>
      <w:pPr>
        <w:pStyle w:val="CommentText"/>
      </w:pPr>
      <w:r>
        <w:rPr>
          <w:rStyle w:val="CommentReference"/>
        </w:rPr>
        <w:annotationRef/>
      </w:r>
      <w:r>
        <w:t xml:space="preserve">[ALTA · apertura genérica]</w:t>
      </w:r>
    </w:p>
    <w:p>
      <w:pPr>
        <w:pStyle w:val="CommentText"/>
      </w:pPr>
      <w:r>
        <w:t xml:space="preserve">Este párrafo podría pertenecer a casi cualquier trabajo de imagen médica y retrasa la llegada al problema. Puedes abrir directamente con la tensión que origina tu experimento. Ejemplo de enfoque:</w:t>
      </w:r>
    </w:p>
    <w:p>
      <w:pPr>
        <w:pStyle w:val="CommentText"/>
      </w:pPr>
      <w:r>
        <w:t xml:space="preserve">«La segmentación de un glioma no depende de una sola resonancia: T1n, T1c, T2w y FLAIR muestran componentes distintos de la lesión. El reto computacional no consiste solo en introducir las cuatro secuencias en una red, sino en decidir cómo combinarlas sin multiplicar el coste del modelo.»</w:t>
      </w:r>
    </w:p>
    <w:p>
      <w:pPr>
        <w:pStyle w:val="CommentText"/>
      </w:pPr>
      <w:r>
        <w:t xml:space="preserve">Después enlaza con la dificultad clínica y las fuentes. Reescribe el ejemplo con el énfasis que realmente motivó tu proyecto.</w:t>
      </w:r>
    </w:p>
  </w:comment>
  <w:comment w:id="5" w:author="Revisión editorial" w:initials="RE" w:date="2026-07-23T09:59:00Z">
    <w:p>
      <w:pPr>
        <w:pStyle w:val="CommentText"/>
      </w:pPr>
      <w:r>
        <w:rPr>
          <w:rStyle w:val="CommentReference"/>
        </w:rPr>
        <w:annotationRef/>
      </w:r>
      <w:r>
        <w:t xml:space="preserve">[MEDIA · foco]</w:t>
      </w:r>
    </w:p>
    <w:p>
      <w:pPr>
        <w:pStyle w:val="CommentText"/>
      </w:pPr>
      <w:r>
        <w:t xml:space="preserve">Reduce la exposición enciclopédica y conserva únicamente el contexto que conduce a tu decisión experimental. Una estructura más propia sería:</w:t>
      </w:r>
    </w:p>
    <w:p>
      <w:pPr>
        <w:pStyle w:val="CommentText"/>
      </w:pPr>
      <w:r>
        <w:t xml:space="preserve">1. por qué MRI es necesaria en gliomas;
2. por qué cuatro secuencias son complementarias;
3. qué problema abre esa complementariedad para la fusión.</w:t>
      </w:r>
    </w:p>
    <w:p>
      <w:pPr>
        <w:pStyle w:val="CommentText"/>
      </w:pPr>
      <w:r>
        <w:t xml:space="preserve">Evita repetir aquí todo lo que después desarrollas en 2.5. Añade una frase que conecte de forma explícita este contexto con ET, TC y WT.</w:t>
      </w:r>
    </w:p>
  </w:comment>
  <w:comment w:id="6" w:author="Revisión editorial" w:initials="RE" w:date="2026-07-23T09:59:00Z">
    <w:p>
      <w:pPr>
        <w:pStyle w:val="CommentText"/>
      </w:pPr>
      <w:r>
        <w:rPr>
          <w:rStyle w:val="CommentReference"/>
        </w:rPr>
        <w:annotationRef/>
      </w:r>
      <w:r>
        <w:t xml:space="preserve">[CORRECCIÓN · precisión y sintaxis]</w:t>
      </w:r>
    </w:p>
    <w:p>
      <w:pPr>
        <w:pStyle w:val="CommentText"/>
      </w:pPr>
      <w:r>
        <w:t xml:space="preserve">Hay un espacio doble en «ya que  el rendimiento». También conviene dividir la oración central, que acumula variabilidad, tiempo y generalización.</w:t>
      </w:r>
    </w:p>
    <w:p>
      <w:pPr>
        <w:pStyle w:val="CommentText"/>
      </w:pPr>
      <w:r>
        <w:t xml:space="preserve">Posible corrección local: «Aun así, el problema no está resuelto: el rendimiento disminuye en algunas subregiones y la generalización a imágenes de otros centros continúa siendo un reto».</w:t>
      </w:r>
    </w:p>
    <w:p>
      <w:pPr>
        <w:pStyle w:val="CommentText"/>
      </w:pPr>
      <w:r>
        <w:t xml:space="preserve">Si conoces qué subregión fue más difícil en tus propios resultados, no la anticipes aquí como hallazgo general sin una fuente; resérvala para Resultados.</w:t>
      </w:r>
    </w:p>
  </w:comment>
  <w:comment w:id="7" w:author="Revisión editorial" w:initials="RE" w:date="2026-07-23T09:59:00Z">
    <w:p>
      <w:pPr>
        <w:pStyle w:val="CommentText"/>
      </w:pPr>
      <w:r>
        <w:rPr>
          <w:rStyle w:val="CommentReference"/>
        </w:rPr>
        <w:annotationRef/>
      </w:r>
      <w:r>
        <w:t xml:space="preserve">[ALTA · voz y concreción]</w:t>
      </w:r>
    </w:p>
    <w:p>
      <w:pPr>
        <w:pStyle w:val="CommentText"/>
      </w:pPr>
      <w:r>
        <w:t xml:space="preserve">«Dentro de este contexto, el presente TFM…» es una fórmula muy repetida en escritura académica. Ve directamente a la decisión:</w:t>
      </w:r>
    </w:p>
    <w:p>
      <w:pPr>
        <w:pStyle w:val="CommentText"/>
      </w:pPr>
      <w:r>
        <w:t xml:space="preserve">«El trabajo compara cuatro reglas de fusión temprana de T1n, T1c, T2w y FLAIR. La variable principal es el bloque que precede al codificador; la Residual U-Net 3D, los datos y el entrenamiento se mantienen fijos.»</w:t>
      </w:r>
    </w:p>
    <w:p>
      <w:pPr>
        <w:pStyle w:val="CommentText"/>
      </w:pPr>
      <w:r>
        <w:t xml:space="preserve">Después delimita cribado y diagnóstico en una sola frase. Esta apertura hace visible qué diseñaste tú y qué dejaste fuera.</w:t>
      </w:r>
    </w:p>
  </w:comment>
  <w:comment w:id="8" w:author="Revisión editorial" w:initials="RE" w:date="2026-07-23T09:59:00Z">
    <w:p>
      <w:pPr>
        <w:pStyle w:val="CommentText"/>
      </w:pPr>
      <w:r>
        <w:rPr>
          <w:rStyle w:val="CommentReference"/>
        </w:rPr>
        <w:annotationRef/>
      </w:r>
      <w:r>
        <w:t xml:space="preserve">[CORRECCIÓN · tono argumental]</w:t>
      </w:r>
    </w:p>
    <w:p>
      <w:pPr>
        <w:pStyle w:val="CommentText"/>
      </w:pPr>
      <w:r>
        <w:t xml:space="preserve">La frase «no es correcto afirmar» suena defensiva si no responde a una afirmación citada. Exprésalo como propiedad técnica:</w:t>
      </w:r>
    </w:p>
    <w:p>
      <w:pPr>
        <w:pStyle w:val="CommentText"/>
      </w:pPr>
      <w:r>
        <w:t xml:space="preserve">«La concatenación no impone pesos iguales a las modalidades: la primera convolución puede aprender filtros distintos para cada canal. Lo que no ofrece es un coeficiente separado e interpretable que se reajuste para cada entrada.»</w:t>
      </w:r>
    </w:p>
    <w:p>
      <w:pPr>
        <w:pStyle w:val="CommentText"/>
      </w:pPr>
      <w:r>
        <w:t xml:space="preserve">Añade una coma antes de «sino» en la última oración si conservas la redacción actual.</w:t>
      </w:r>
    </w:p>
  </w:comment>
  <w:comment w:id="9" w:author="Revisión editorial" w:initials="RE" w:date="2026-07-23T09:59:00Z">
    <w:p>
      <w:pPr>
        <w:pStyle w:val="CommentText"/>
      </w:pPr>
      <w:r>
        <w:rPr>
          <w:rStyle w:val="CommentReference"/>
        </w:rPr>
        <w:annotationRef/>
      </w:r>
      <w:r>
        <w:t xml:space="preserve">[ALTA · dividir y corregir]</w:t>
      </w:r>
    </w:p>
    <w:p>
      <w:pPr>
        <w:pStyle w:val="CommentText"/>
      </w:pPr>
      <w:r>
        <w:t xml:space="preserve">Este párrafo reúne problema, cuatro configuraciones, funcionamiento de los pesos y dos hipótesis; conviene dividirlo en dos o tres.</w:t>
      </w:r>
    </w:p>
    <w:p>
      <w:pPr>
        <w:pStyle w:val="CommentText"/>
      </w:pPr>
      <w:r>
        <w:t xml:space="preserve">Corrige además «La inclusión de la ponderación global permite distinguir dos efectos posibles, como es la opción de si…». Una versión directa es:</w:t>
      </w:r>
    </w:p>
    <w:p>
      <w:pPr>
        <w:pStyle w:val="CommentText"/>
      </w:pPr>
      <w:r>
        <w:t xml:space="preserve">«La ponderación global permite separar dos hipótesis: si basta con aprender una jerarquía común entre modalidades o si conviene adaptarla al contenido de cada entrada.»</w:t>
      </w:r>
    </w:p>
    <w:p>
      <w:pPr>
        <w:pStyle w:val="CommentText"/>
      </w:pPr>
      <w:r>
        <w:t xml:space="preserve">Elimina también el espacio anterior a la coma en «efectos posibles ,». Cierra el párrafo con la razón experimental por la que decidiste incluir el comparador global.</w:t>
      </w:r>
    </w:p>
  </w:comment>
  <w:comment w:id="10" w:author="Revisión editorial" w:initials="RE" w:date="2026-07-23T09:59:00Z">
    <w:p>
      <w:pPr>
        <w:pStyle w:val="CommentText"/>
      </w:pPr>
      <w:r>
        <w:rPr>
          <w:rStyle w:val="CommentReference"/>
        </w:rPr>
        <w:annotationRef/>
      </w:r>
      <w:r>
        <w:t xml:space="preserve">[BAJA · texto administrativo]</w:t>
      </w:r>
    </w:p>
    <w:p>
      <w:pPr>
        <w:pStyle w:val="CommentText"/>
      </w:pPr>
      <w:r>
        <w:t xml:space="preserve">Esta sección es válida si la guía de la universidad la exige, pero no necesita seis descripciones extensas que repiten el índice. Puedes condensarla en un párrafo o mantener la lista con una sola función diferencial por capítulo.</w:t>
      </w:r>
    </w:p>
    <w:p>
      <w:pPr>
        <w:pStyle w:val="CommentText"/>
      </w:pPr>
      <w:r>
        <w:t xml:space="preserve">Ejemplo: «Los capítulos 1 y 2 delimitan la pregunta y sus fundamentos; los capítulos 3 y 4 separan el proceso de trabajo de su implementación; los capítulos 5 y 6 presentan e interpretan la evidencia.»</w:t>
      </w:r>
    </w:p>
  </w:comment>
  <w:comment w:id="11" w:author="Revisión editorial" w:initials="RE" w:date="2026-07-23T09:59:00Z">
    <w:p>
      <w:pPr>
        <w:pStyle w:val="CommentText"/>
      </w:pPr>
      <w:r>
        <w:rPr>
          <w:rStyle w:val="CommentReference"/>
        </w:rPr>
        <w:annotationRef/>
      </w:r>
      <w:r>
        <w:t xml:space="preserve">[MEDIA · apertura formularia]</w:t>
      </w:r>
    </w:p>
    <w:p>
      <w:pPr>
        <w:pStyle w:val="CommentText"/>
      </w:pPr>
      <w:r>
        <w:t xml:space="preserve">La apertura enumera lo que el lector ya ve en el índice. Sustitúyela por la decisión conceptual que organiza el capítulo:</w:t>
      </w:r>
    </w:p>
    <w:p>
      <w:pPr>
        <w:pStyle w:val="CommentText"/>
      </w:pPr>
      <w:r>
        <w:t xml:space="preserve">«El marco teórico separa tres decisiones que deben evaluarse por separado: la arquitectura de segmentación, la etapa de fusión y la regla con la que se combinan las modalidades.»</w:t>
      </w:r>
    </w:p>
    <w:p>
      <w:pPr>
        <w:pStyle w:val="CommentText"/>
      </w:pPr>
      <w:r>
        <w:t xml:space="preserve">Después explica por qué esa separación es necesaria para entender tu ablación. Puedes eliminar el resto del anuncio de secciones.</w:t>
      </w:r>
    </w:p>
  </w:comment>
  <w:comment w:id="12" w:author="Revisión editorial" w:initials="RE" w:date="2026-07-23T09:59:00Z">
    <w:p>
      <w:pPr>
        <w:pStyle w:val="CommentText"/>
      </w:pPr>
      <w:r>
        <w:rPr>
          <w:rStyle w:val="CommentReference"/>
        </w:rPr>
        <w:annotationRef/>
      </w:r>
      <w:r>
        <w:t xml:space="preserve">[CORRECCIÓN · claridad]</w:t>
      </w:r>
    </w:p>
    <w:p>
      <w:pPr>
        <w:pStyle w:val="CommentText"/>
      </w:pPr>
      <w:r>
        <w:t xml:space="preserve">La última oración mezcla las dos ideas con «de tal manera que». Posible reformulación:</w:t>
      </w:r>
    </w:p>
    <w:p>
      <w:pPr>
        <w:pStyle w:val="CommentText"/>
      </w:pPr>
      <w:r>
        <w:t xml:space="preserve">«Las conexiones residuales modifican cómo se transforman las características dentro de la red; la fusión define cómo llegan las modalidades al modelo. Esta independencia permite cambiar la regla de entrada y mantener fija la Residual U-Net 3D.»</w:t>
      </w:r>
    </w:p>
    <w:p>
      <w:pPr>
        <w:pStyle w:val="CommentText"/>
      </w:pPr>
      <w:r>
        <w:t xml:space="preserve">Es una buena oportunidad para enlazar teoría y diseño propio sin añadir más explicación general de ResNet.</w:t>
      </w:r>
    </w:p>
  </w:comment>
  <w:comment w:id="13" w:author="Revisión editorial" w:initials="RE" w:date="2026-07-23T09:59:00Z">
    <w:p>
      <w:pPr>
        <w:pStyle w:val="CommentText"/>
      </w:pPr>
      <w:r>
        <w:rPr>
          <w:rStyle w:val="CommentReference"/>
        </w:rPr>
        <w:annotationRef/>
      </w:r>
      <w:r>
        <w:t xml:space="preserve">[CORRECCIÓN · relación lógica]</w:t>
      </w:r>
    </w:p>
    <w:p>
      <w:pPr>
        <w:pStyle w:val="CommentText"/>
      </w:pPr>
      <w:r>
        <w:t xml:space="preserve">La frase «La primera asigna relevancia…, es decir, una compuerta de modalidad…» une dos mecanismos distintos como si fueran equivalentes. Puedes escribir:</w:t>
      </w:r>
    </w:p>
    <w:p>
      <w:pPr>
        <w:pStyle w:val="CommentText"/>
      </w:pPr>
      <w:r>
        <w:t xml:space="preserve">«Las compuertas de Attention U-Net modulan espacialmente características internas de las conexiones de salto. En cambio, la compuerta estudiada aquí asigna un peso global a cada canal de entrada.»</w:t>
      </w:r>
    </w:p>
    <w:p>
      <w:pPr>
        <w:pStyle w:val="CommentText"/>
      </w:pPr>
      <w:r>
        <w:t xml:space="preserve">Así queda explícito por qué Attention U-Net es una referencia arquitectónica y no otra variante de la ablación modal.</w:t>
      </w:r>
    </w:p>
  </w:comment>
  <w:comment w:id="14" w:author="Revisión editorial" w:initials="RE" w:date="2026-07-23T09:59:00Z">
    <w:p>
      <w:pPr>
        <w:pStyle w:val="CommentText"/>
      </w:pPr>
      <w:r>
        <w:rPr>
          <w:rStyle w:val="CommentReference"/>
        </w:rPr>
        <w:annotationRef/>
      </w:r>
      <w:r>
        <w:t xml:space="preserve">[CORRECCIÓN · sintaxis]</w:t>
      </w:r>
    </w:p>
    <w:p>
      <w:pPr>
        <w:pStyle w:val="CommentText"/>
      </w:pPr>
      <w:r>
        <w:t xml:space="preserve">Evita «dos ejes, como son, la etapa…». Versión más limpia:</w:t>
      </w:r>
    </w:p>
    <w:p>
      <w:pPr>
        <w:pStyle w:val="CommentText"/>
      </w:pPr>
      <w:r>
        <w:t xml:space="preserve">«Para ordenar las variantes de fusión se separan dos decisiones: la etapa en la que se integran las modalidades y la regla utilizada para combinarlas.»</w:t>
      </w:r>
    </w:p>
    <w:p>
      <w:pPr>
        <w:pStyle w:val="CommentText"/>
      </w:pPr>
      <w:r>
        <w:t xml:space="preserve">Después define «adaptativa» en la misma frase o en una oración corta. Este patrón —decisión 1, decisión 2, consecuencia para el experimento— puede sustituir varios conectores formales del capítulo.</w:t>
      </w:r>
    </w:p>
  </w:comment>
  <w:comment w:id="15" w:author="Revisión editorial" w:initials="RE" w:date="2026-07-23T09:59:00Z">
    <w:p>
      <w:pPr>
        <w:pStyle w:val="CommentText"/>
      </w:pPr>
      <w:r>
        <w:rPr>
          <w:rStyle w:val="CommentReference"/>
        </w:rPr>
        <w:annotationRef/>
      </w:r>
      <w:r>
        <w:t xml:space="preserve">[BAJA · frase mecánica]</w:t>
      </w:r>
    </w:p>
    <w:p>
      <w:pPr>
        <w:pStyle w:val="CommentText"/>
      </w:pPr>
      <w:r>
        <w:t xml:space="preserve">El documento contiene muchas fórmulas como «la tabla muestra/permite/evidencia». Aquí basta con anunciar la tabla y reservar la prosa posterior para una interpretación concreta.</w:t>
      </w:r>
    </w:p>
    <w:p>
      <w:pPr>
        <w:pStyle w:val="CommentText"/>
      </w:pPr>
      <w:r>
        <w:t xml:space="preserve">Ejemplo: «La Tabla 1 cruza la etapa de fusión con reglas compatibles; una ponderación aprendida no pertenece necesariamente a una única etapa.»</w:t>
      </w:r>
    </w:p>
    <w:p>
      <w:pPr>
        <w:pStyle w:val="CommentText"/>
      </w:pPr>
      <w:r>
        <w:t xml:space="preserve">Aplica el mismo criterio al resto: elimina la frase si no añade una lectura que no sea ya visible en la tabla.</w:t>
      </w:r>
    </w:p>
  </w:comment>
  <w:comment w:id="16" w:author="Revisión editorial" w:initials="RE" w:date="2026-07-23T09:59:00Z">
    <w:p>
      <w:pPr>
        <w:pStyle w:val="CommentText"/>
      </w:pPr>
      <w:r>
        <w:rPr>
          <w:rStyle w:val="CommentReference"/>
        </w:rPr>
        <w:annotationRef/>
      </w:r>
      <w:r>
        <w:t xml:space="preserve">[CORRECCIÓN · fuerza de la afirmación]</w:t>
      </w:r>
    </w:p>
    <w:p>
      <w:pPr>
        <w:pStyle w:val="CommentText"/>
      </w:pPr>
      <w:r>
        <w:t xml:space="preserve">Los artículos citados «muestran» o «ejemplifican» diseños en varios niveles; «demuestran» es demasiado fuerte para esa función. Posible revisión:</w:t>
      </w:r>
    </w:p>
    <w:p>
      <w:pPr>
        <w:pStyle w:val="CommentText"/>
      </w:pPr>
      <w:r>
        <w:t xml:space="preserve">«Estos trabajos ejemplifican fusiones en distintos niveles, pero cambian simultáneamente ramas, mecanismos de atención o codificadores.»</w:t>
      </w:r>
    </w:p>
    <w:p>
      <w:pPr>
        <w:pStyle w:val="CommentText"/>
      </w:pPr>
      <w:r>
        <w:t xml:space="preserve">La segunda parte es la observación importante y propia: explica brevemente cómo detectaste esa dificultad al diseñar una comparación controlada.</w:t>
      </w:r>
    </w:p>
  </w:comment>
  <w:comment w:id="17" w:author="Revisión editorial" w:initials="RE" w:date="2026-07-23T09:59:00Z">
    <w:p>
      <w:pPr>
        <w:pStyle w:val="CommentText"/>
      </w:pPr>
      <w:r>
        <w:rPr>
          <w:rStyle w:val="CommentReference"/>
        </w:rPr>
        <w:annotationRef/>
      </w:r>
      <w:r>
        <w:t xml:space="preserve">[BAJA · metadiscurso]</w:t>
      </w:r>
    </w:p>
    <w:p>
      <w:pPr>
        <w:pStyle w:val="CommentText"/>
      </w:pPr>
      <w:r>
        <w:t xml:space="preserve">Este párrafo vuelve a anunciar el contenido de la sección. Puedes comenzar directamente por la diferencia que condiciona todo el análisis:</w:t>
      </w:r>
    </w:p>
    <w:p>
      <w:pPr>
        <w:pStyle w:val="CommentText"/>
      </w:pPr>
      <w:r>
        <w:t xml:space="preserve">«BraTS-GLI 2024 reúne estudios post-tratamiento y puede contener varias exploraciones de un mismo sujeto. Por ello, el estudio de imagen y el paciente no son unidades equivalentes de partición.»</w:t>
      </w:r>
    </w:p>
    <w:p>
      <w:pPr>
        <w:pStyle w:val="CommentText"/>
      </w:pPr>
      <w:r>
        <w:t xml:space="preserve">El contraste entre evaluación interna y protocolo oficial puede quedar al final de 2.5.1.</w:t>
      </w:r>
    </w:p>
  </w:comment>
  <w:comment w:id="18" w:author="Revisión editorial" w:initials="RE" w:date="2026-07-23T09:59:00Z">
    <w:p>
      <w:pPr>
        <w:pStyle w:val="CommentText"/>
      </w:pPr>
      <w:r>
        <w:rPr>
          <w:rStyle w:val="CommentReference"/>
        </w:rPr>
        <w:annotationRef/>
      </w:r>
      <w:r>
        <w:t xml:space="preserve">[MEDIA · conectar con medidas reales]</w:t>
      </w:r>
    </w:p>
    <w:p>
      <w:pPr>
        <w:pStyle w:val="CommentText"/>
      </w:pPr>
      <w:r>
        <w:t xml:space="preserve">La explicación de parámetros, memoria y tiempo es general. Termina el párrafo anticipando qué pudiste medir de verdad: parámetros para todas las configuraciones, tiempo solo en ciertos registros, memoria CUDA incompleta y ausencia de una latencia homogénea.</w:t>
      </w:r>
    </w:p>
    <w:p>
      <w:pPr>
        <w:pStyle w:val="CommentText"/>
      </w:pPr>
      <w:r>
        <w:t xml:space="preserve">Así el marco no parece una lista de buenas prácticas desconectada del experimento y prepara al lector para la limitación de 5.4.</w:t>
      </w:r>
    </w:p>
  </w:comment>
  <w:comment w:id="19" w:author="Revisión editorial" w:initials="RE" w:date="2026-07-23T09:59:00Z">
    <w:p>
      <w:pPr>
        <w:pStyle w:val="CommentText"/>
      </w:pPr>
      <w:r>
        <w:rPr>
          <w:rStyle w:val="CommentReference"/>
        </w:rPr>
        <w:annotationRef/>
      </w:r>
      <w:r>
        <w:t xml:space="preserve">[CORRECCIÓN · sintaxis y trazabilidad]</w:t>
      </w:r>
    </w:p>
    <w:p>
      <w:pPr>
        <w:pStyle w:val="CommentText"/>
      </w:pPr>
      <w:r>
        <w:t xml:space="preserve">Sustituye «cinco criterios, como son:» por una enumeración directa: «cinco criterios: correspondencia…, soporte…, disponibilidad…, esfuerzo… y licencia».</w:t>
      </w:r>
    </w:p>
    <w:p>
      <w:pPr>
        <w:pStyle w:val="CommentText"/>
      </w:pPr>
      <w:r>
        <w:t xml:space="preserve">Aclara además la diferencia entre «consultado», «integrado», «probado» y «ejecutado». Por ejemplo, TransBTS se revisó pero no se ejecutó; MONAI sí estructuró el pipeline; nnU-Net siguió una ruta externa. Esa cronología concreta aporta más autoría que una tabla de características por sí sola.</w:t>
      </w:r>
    </w:p>
  </w:comment>
  <w:comment w:id="20" w:author="Revisión editorial" w:initials="RE" w:date="2026-07-23T09:59:00Z">
    <w:p>
      <w:pPr>
        <w:pStyle w:val="CommentText"/>
      </w:pPr>
      <w:r>
        <w:rPr>
          <w:rStyle w:val="CommentReference"/>
        </w:rPr>
        <w:annotationRef/>
      </w:r>
      <w:r>
        <w:t xml:space="preserve">[MEDIA · interpretación]</w:t>
      </w:r>
    </w:p>
    <w:p>
      <w:pPr>
        <w:pStyle w:val="CommentText"/>
      </w:pPr>
      <w:r>
        <w:t xml:space="preserve">Evita describir de nuevo las filas. Conserva solo la decisión que se deriva de ellas:</w:t>
      </w:r>
    </w:p>
    <w:p>
      <w:pPr>
        <w:pStyle w:val="CommentText"/>
      </w:pPr>
      <w:r>
        <w:t xml:space="preserve">«Se eligió una única implementación residual para que el cambio de entrada fuera la principal diferencia entre las cuatro variantes. Integrar TransBTS habría cambiado simultáneamente el codificador y el entorno.»</w:t>
      </w:r>
    </w:p>
    <w:p>
      <w:pPr>
        <w:pStyle w:val="CommentText"/>
      </w:pPr>
      <w:r>
        <w:t xml:space="preserve">Si hubo un intento real de portado o una incompatibilidad concreta, indícala; si solo se estimó el esfuerzo, no lo presentes como una prueba realizada.</w:t>
      </w:r>
    </w:p>
  </w:comment>
  <w:comment w:id="21" w:author="Revisión editorial" w:initials="RE" w:date="2026-07-23T09:59:00Z">
    <w:p>
      <w:pPr>
        <w:pStyle w:val="CommentText"/>
      </w:pPr>
      <w:r>
        <w:rPr>
          <w:rStyle w:val="CommentReference"/>
        </w:rPr>
        <w:annotationRef/>
      </w:r>
      <w:r>
        <w:t xml:space="preserve">[MEDIA · síntesis]</w:t>
      </w:r>
    </w:p>
    <w:p>
      <w:pPr>
        <w:pStyle w:val="CommentText"/>
      </w:pPr>
      <w:r>
        <w:t xml:space="preserve">La idea de los tres niveles es útil, pero el párrafo repite definiciones anteriores. Condénsalo en una sola transición y dedica más espacio a la brecha que realmente verificaste al revisar los artículos: las comparaciones publicadas suelen cambiar más de un componente a la vez.</w:t>
      </w:r>
    </w:p>
    <w:p>
      <w:pPr>
        <w:pStyle w:val="CommentText"/>
      </w:pPr>
      <w:r>
        <w:t xml:space="preserve">Una formulación propia puede empezar: «La revisión llevó a acotar la contribución: en lugar de comparar arquitecturas completas, se modificó únicamente el bloque anterior al codificador residual.»</w:t>
      </w:r>
    </w:p>
  </w:comment>
  <w:comment w:id="22" w:author="Revisión editorial" w:initials="RE" w:date="2026-07-23T09:59:00Z">
    <w:p>
      <w:pPr>
        <w:pStyle w:val="CommentText"/>
      </w:pPr>
      <w:r>
        <w:rPr>
          <w:rStyle w:val="CommentReference"/>
        </w:rPr>
        <w:annotationRef/>
      </w:r>
      <w:r>
        <w:t xml:space="preserve">[MEDIA · eliminar anuncio]</w:t>
      </w:r>
    </w:p>
    <w:p>
      <w:pPr>
        <w:pStyle w:val="CommentText"/>
      </w:pPr>
      <w:r>
        <w:t xml:space="preserve">El párrafo repite la tabla de contenidos. Puedes suprimirlo y comenzar por cómo organizaste realmente el trabajo. Si necesitas una transición, usa una sola oración:</w:t>
      </w:r>
    </w:p>
    <w:p>
      <w:pPr>
        <w:pStyle w:val="CommentText"/>
      </w:pPr>
      <w:r>
        <w:t xml:space="preserve">«El trabajo se organizó como una secuencia de verificaciones destinadas a evitar entrenamientos costosos sobre datos o configuraciones no validados.»</w:t>
      </w:r>
    </w:p>
  </w:comment>
  <w:comment w:id="23" w:author="Revisión editorial" w:initials="RE" w:date="2026-07-23T09:59:00Z">
    <w:p>
      <w:pPr>
        <w:pStyle w:val="CommentText"/>
      </w:pPr>
      <w:r>
        <w:rPr>
          <w:rStyle w:val="CommentReference"/>
        </w:rPr>
        <w:annotationRef/>
      </w:r>
      <w:r>
        <w:t xml:space="preserve">[ALTA · reconstruir la secuencia real]</w:t>
      </w:r>
    </w:p>
    <w:p>
      <w:pPr>
        <w:pStyle w:val="CommentText"/>
      </w:pPr>
      <w:r>
        <w:t xml:space="preserve">«Metodología ad hoc de carácter incremental» suena abstracto mientras no nombres los puntos de giro. Reescribe desde la cronología verificable:</w:t>
      </w:r>
    </w:p>
    <w:p>
      <w:pPr>
        <w:pStyle w:val="CommentText"/>
      </w:pPr>
      <w:r>
        <w:t xml:space="preserve">«Primero se validaron los 1.621 estudios y las particiones; después se ejecutaron pruebas mínimas del pipeline; una sonda de convergencia fijó el presupuesto final; por último, el diagnóstico de la compuerta basada en la media motivó la variante media+desviación.»</w:t>
      </w:r>
    </w:p>
    <w:p>
      <w:pPr>
        <w:pStyle w:val="CommentText"/>
      </w:pPr>
      <w:r>
        <w:t xml:space="preserve">Comprueba que ese orden coincide con tu bitácora y commits. Distingue lo planificado desde el inicio de lo que surgió durante las pruebas.</w:t>
      </w:r>
    </w:p>
  </w:comment>
  <w:comment w:id="24" w:author="Revisión editorial" w:initials="RE" w:date="2026-07-23T09:59:00Z">
    <w:p>
      <w:pPr>
        <w:pStyle w:val="CommentText"/>
      </w:pPr>
      <w:r>
        <w:rPr>
          <w:rStyle w:val="CommentReference"/>
        </w:rPr>
        <w:annotationRef/>
      </w:r>
      <w:r>
        <w:t xml:space="preserve">[MEDIA · fases con evidencia]</w:t>
      </w:r>
    </w:p>
    <w:p>
      <w:pPr>
        <w:pStyle w:val="CommentText"/>
      </w:pPr>
      <w:r>
        <w:t xml:space="preserve">Las cinco fases están redactadas como definiciones impersonales. Para cada una, añade la acción que la cerró y su evidencia: una decisión aprobada, un CSV de QC, una configuración ejecutable, un conjunto de checkpoints o una tabla de métricas.</w:t>
      </w:r>
    </w:p>
    <w:p>
      <w:pPr>
        <w:pStyle w:val="CommentText"/>
      </w:pPr>
      <w:r>
        <w:t xml:space="preserve">Ejemplo de patrón: «La fase 2 terminó cuando el control de calidad validó los 1.621 estudios y se versionó el manifiesto del reparto 70/15/15». No inventes un criterio de cierre si no existió; usa lo que aparece en la bitácora.</w:t>
      </w:r>
    </w:p>
  </w:comment>
  <w:comment w:id="25" w:author="Revisión editorial" w:initials="RE" w:date="2026-07-23T09:59:00Z">
    <w:p>
      <w:pPr>
        <w:pStyle w:val="CommentText"/>
      </w:pPr>
      <w:r>
        <w:rPr>
          <w:rStyle w:val="CommentReference"/>
        </w:rPr>
        <w:annotationRef/>
      </w:r>
      <w:r>
        <w:t xml:space="preserve">[BAJA · redundancia estructural]</w:t>
      </w:r>
    </w:p>
    <w:p>
      <w:pPr>
        <w:pStyle w:val="CommentText"/>
      </w:pPr>
      <w:r>
        <w:t xml:space="preserve">Las descripciones de 3.2, la Tabla 3 y la Tabla 4 transmiten casi la misma información. Considera conservar la Tabla 3 como resumen y eliminar frases que vuelven a enumerarla. El espacio recuperado puede emplearse en explicar las iteraciones reales, que son más útiles para evaluar tu trabajo.</w:t>
      </w:r>
    </w:p>
  </w:comment>
  <w:comment w:id="26" w:author="Revisión editorial" w:initials="RE" w:date="2026-07-23T09:59:00Z">
    <w:p>
      <w:pPr>
        <w:pStyle w:val="CommentText"/>
      </w:pPr>
      <w:r>
        <w:rPr>
          <w:rStyle w:val="CommentReference"/>
        </w:rPr>
        <w:annotationRef/>
      </w:r>
      <w:r>
        <w:t xml:space="preserve">[BAJA · posible supresión]</w:t>
      </w:r>
    </w:p>
    <w:p>
      <w:pPr>
        <w:pStyle w:val="CommentText"/>
      </w:pPr>
      <w:r>
        <w:t xml:space="preserve">La Tabla 4 es un mapa uno-a-uno entre apartados consecutivos y aporta poca información nueva. Si la estructura no viene exigida por la tutora, valora eliminar tabla y párrafo. Si debe mantenerse, reduce el texto a una sola frase y no vuelvas a explicarlo en la apertura del capítulo 4.</w:t>
      </w:r>
    </w:p>
  </w:comment>
  <w:comment w:id="27" w:author="Revisión editorial" w:initials="RE" w:date="2026-07-23T09:59:00Z">
    <w:p>
      <w:pPr>
        <w:pStyle w:val="CommentText"/>
      </w:pPr>
      <w:r>
        <w:rPr>
          <w:rStyle w:val="CommentReference"/>
        </w:rPr>
        <w:annotationRef/>
      </w:r>
      <w:r>
        <w:t xml:space="preserve">[ALTA · cronología propia]</w:t>
      </w:r>
    </w:p>
    <w:p>
      <w:pPr>
        <w:pStyle w:val="CommentText"/>
      </w:pPr>
      <w:r>
        <w:t xml:space="preserve">El cronograma ganará autenticidad si incluye dos o tres hitos que cambiaron el proyecto, no solo meses: fecha aproximada de la sonda de convergencia, diagnóstico de la compuerta, incorporación de `meanstd`, traslado de datos al disco local o ejecución final en A100.</w:t>
      </w:r>
    </w:p>
    <w:p>
      <w:pPr>
        <w:pStyle w:val="CommentText"/>
      </w:pPr>
      <w:r>
        <w:t xml:space="preserve">Usa fechas de commits, bitácora y reuniones para reconstruirlas; no completes huecos de memoria con fechas aproximadas presentadas como exactas.</w:t>
      </w:r>
    </w:p>
  </w:comment>
  <w:comment w:id="28" w:author="Revisión editorial" w:initials="RE" w:date="2026-07-23T09:59:00Z">
    <w:p>
      <w:pPr>
        <w:pStyle w:val="CommentText"/>
      </w:pPr>
      <w:r>
        <w:rPr>
          <w:rStyle w:val="CommentReference"/>
        </w:rPr>
        <w:annotationRef/>
      </w:r>
      <w:r>
        <w:t xml:space="preserve">[BAJA · apertura repetida]</w:t>
      </w:r>
    </w:p>
    <w:p>
      <w:pPr>
        <w:pStyle w:val="CommentText"/>
      </w:pPr>
      <w:r>
        <w:t xml:space="preserve">Elimina o reduce este anuncio. El lector ya conoce la correspondencia por el capítulo 3. Una apertura más informativa sería una frase sobre el principio técnico común:</w:t>
      </w:r>
    </w:p>
    <w:p>
      <w:pPr>
        <w:pStyle w:val="CommentText"/>
      </w:pPr>
      <w:r>
        <w:t xml:space="preserve">«El desarrollo separa una infraestructura MONAI compartida de la ruta externa de nnU-Net y mantiene fijo el codificador residual en la ablación de fusión.»</w:t>
      </w:r>
    </w:p>
  </w:comment>
  <w:comment w:id="29" w:author="Revisión editorial" w:initials="RE" w:date="2026-07-23T09:59:00Z">
    <w:p>
      <w:pPr>
        <w:pStyle w:val="CommentText"/>
      </w:pPr>
      <w:r>
        <w:rPr>
          <w:rStyle w:val="CommentReference"/>
        </w:rPr>
        <w:annotationRef/>
      </w:r>
      <w:r>
        <w:t xml:space="preserve">[ALTA · decisión condicionada]</w:t>
      </w:r>
    </w:p>
    <w:p>
      <w:pPr>
        <w:pStyle w:val="CommentText"/>
      </w:pPr>
      <w:r>
        <w:t xml:space="preserve">Explica qué restricciones reales condujeron a MONAI y al reparto de modelos: disponibilidad de M4 Pro, acceso temporal a A100, soporte 3D, necesidad de inferencia por ventanas y coste de portar repositorios externos.</w:t>
      </w:r>
    </w:p>
    <w:p>
      <w:pPr>
        <w:pStyle w:val="CommentText"/>
      </w:pPr>
      <w:r>
        <w:t xml:space="preserve">Posible estructura: «Se eligió MONAI porque resolvía X y permitía controlar Y; se mantuvo un bucle propio porque necesitaba Z». Sustituye X/Y/Z únicamente por necesidades que puedas señalar en código, notas o experimentos.</w:t>
      </w:r>
    </w:p>
  </w:comment>
  <w:comment w:id="30" w:author="Revisión editorial" w:initials="RE" w:date="2026-07-23T09:59:00Z">
    <w:p>
      <w:pPr>
        <w:pStyle w:val="CommentText"/>
      </w:pPr>
      <w:r>
        <w:rPr>
          <w:rStyle w:val="CommentReference"/>
        </w:rPr>
        <w:annotationRef/>
      </w:r>
      <w:r>
        <w:t xml:space="preserve">[MEDIA · condensar]</w:t>
      </w:r>
    </w:p>
    <w:p>
      <w:pPr>
        <w:pStyle w:val="CommentText"/>
      </w:pPr>
      <w:r>
        <w:t xml:space="preserve">El párrafo anuncia las tres subsecciones y repite limitaciones explicadas después. Puedes reducirlo a:</w:t>
      </w:r>
    </w:p>
    <w:p>
      <w:pPr>
        <w:pStyle w:val="CommentText"/>
      </w:pPr>
      <w:r>
        <w:t xml:space="preserve">«Antes de entrenar se ejecutaron tres operaciones: descubrimiento de estudios, control de calidad y generación de particiones.»</w:t>
      </w:r>
    </w:p>
    <w:p>
      <w:pPr>
        <w:pStyle w:val="CommentText"/>
      </w:pPr>
      <w:r>
        <w:t xml:space="preserve">Dedica el resto a qué se encontró o qué decisión cambió. Los detalles concretos de 4.2.1–4.2.3 ya hacen el trabajo más creíble que esta introducción.</w:t>
      </w:r>
    </w:p>
  </w:comment>
  <w:comment w:id="31" w:author="Revisión editorial" w:initials="RE" w:date="2026-07-23T09:59:00Z">
    <w:p>
      <w:pPr>
        <w:pStyle w:val="CommentText"/>
      </w:pPr>
      <w:r>
        <w:rPr>
          <w:rStyle w:val="CommentReference"/>
        </w:rPr>
        <w:annotationRef/>
      </w:r>
      <w:r>
        <w:t xml:space="preserve">[ALTA · añadir resultado verificable]</w:t>
      </w:r>
    </w:p>
    <w:p>
      <w:pPr>
        <w:pStyle w:val="CommentText"/>
      </w:pPr>
      <w:r>
        <w:t xml:space="preserve">El repositorio permite concretar el resultado: `outputs/qc/brats_gli_2024_qc_summary.json` registra 1.621 estudios con estado `ok`, ninguna categoría en `problem_counts`, 1.223 casos con ET y 398 sin ET.</w:t>
      </w:r>
    </w:p>
    <w:p>
      <w:pPr>
        <w:pStyle w:val="CommentText"/>
      </w:pPr>
      <w:r>
        <w:t xml:space="preserve">Posible reformulación: «El control de calidad validó los 1.621 estudios sin detectar modalidades, máscaras, geometrías o etiquetas incompatibles; además identificó 1.223 casos con ET y 398 sin ET para la estratificación.»</w:t>
      </w:r>
    </w:p>
    <w:p>
      <w:pPr>
        <w:pStyle w:val="CommentText"/>
      </w:pPr>
      <w:r>
        <w:t xml:space="preserve">Verifica si quieres declarar «sin detectar» para todas las comprobaciones o enumerarlas de forma más prudente.</w:t>
      </w:r>
    </w:p>
  </w:comment>
  <w:comment w:id="32" w:author="Revisión editorial" w:initials="RE" w:date="2026-07-23T09:59:00Z">
    <w:p>
      <w:pPr>
        <w:pStyle w:val="CommentText"/>
      </w:pPr>
      <w:r>
        <w:rPr>
          <w:rStyle w:val="CommentReference"/>
        </w:rPr>
        <w:annotationRef/>
      </w:r>
      <w:r>
        <w:t xml:space="preserve">[ALTA · decisión y limitación histórica]</w:t>
      </w:r>
    </w:p>
    <w:p>
      <w:pPr>
        <w:pStyle w:val="CommentText"/>
      </w:pPr>
      <w:r>
        <w:t xml:space="preserve">Explica por qué elegiste origen, presencia de ET y cuantiles de WT como estratos. El manifiesto muestra que los cuantiles quedaron casi equilibrados, pero esa evidencia no explica por sí sola la elección.</w:t>
      </w:r>
    </w:p>
    <w:p>
      <w:pPr>
        <w:pStyle w:val="CommentText"/>
      </w:pPr>
      <w:r>
        <w:t xml:space="preserve">También indica cuándo descubriste que varios estudios podían pertenecer al mismo sujeto y por qué no regeneraste el reparto. Debe ser una explicación histórica y transparente —por ejemplo, experimentos ya cerrados o identificación tardía—, no una justificación retrospectiva inventada.</w:t>
      </w:r>
    </w:p>
  </w:comment>
  <w:comment w:id="33" w:author="Revisión editorial" w:initials="RE" w:date="2026-07-23T09:59:00Z">
    <w:p>
      <w:pPr>
        <w:pStyle w:val="CommentText"/>
      </w:pPr>
      <w:r>
        <w:rPr>
          <w:rStyle w:val="CommentReference"/>
        </w:rPr>
        <w:annotationRef/>
      </w:r>
      <w:r>
        <w:t xml:space="preserve">[BAJA · metadiscurso]</w:t>
      </w:r>
    </w:p>
    <w:p>
      <w:pPr>
        <w:pStyle w:val="CommentText"/>
      </w:pPr>
      <w:r>
        <w:t xml:space="preserve">Este párrafo enumera seis subsecciones y repite qué se reserva para la fase 4. Puedes eliminarlo o sustituirlo por la arquitectura del software en una oración. La información distintiva comienza en 4.3.1.</w:t>
      </w:r>
    </w:p>
  </w:comment>
  <w:comment w:id="34" w:author="Revisión editorial" w:initials="RE" w:date="2026-07-23T09:59:00Z">
    <w:p>
      <w:pPr>
        <w:pStyle w:val="CommentText"/>
      </w:pPr>
      <w:r>
        <w:rPr>
          <w:rStyle w:val="CommentReference"/>
        </w:rPr>
        <w:annotationRef/>
      </w:r>
      <w:r>
        <w:t xml:space="preserve">[ALTA · restricciones reales]</w:t>
      </w:r>
    </w:p>
    <w:p>
      <w:pPr>
        <w:pStyle w:val="CommentText"/>
      </w:pPr>
      <w:r>
        <w:t xml:space="preserve">Cuenta la razón concreta del reparto MPS/A100. ¿La A100 estaba disponible durante un tiempo limitado? ¿Swin-UNETR no cabía o era demasiado lento en local? ¿La ablación residual ya estaba automatizada en MPS?</w:t>
      </w:r>
    </w:p>
    <w:p>
      <w:pPr>
        <w:pStyle w:val="CommentText"/>
      </w:pPr>
      <w:r>
        <w:t xml:space="preserve">Una frase basada en esa restricción explica mejor la heterogeneidad del protocolo que «permitió reservar». Añade qué decisión tomaste para reducir su impacto y qué comparación dejaste de considerar causal.</w:t>
      </w:r>
    </w:p>
  </w:comment>
  <w:comment w:id="35" w:author="Revisión editorial" w:initials="RE" w:date="2026-07-23T09:59:00Z">
    <w:p>
      <w:pPr>
        <w:pStyle w:val="CommentText"/>
      </w:pPr>
      <w:r>
        <w:rPr>
          <w:rStyle w:val="CommentReference"/>
        </w:rPr>
        <w:annotationRef/>
      </w:r>
      <w:r>
        <w:t xml:space="preserve">[MEDIA · diseño propio]</w:t>
      </w:r>
    </w:p>
    <w:p>
      <w:pPr>
        <w:pStyle w:val="CommentText"/>
      </w:pPr>
      <w:r>
        <w:t xml:space="preserve">La lista de módulos es verificable, pero explica una decisión de diseño. Por ejemplo: por qué separaste `predict` de `evaluate`, por qué las configuraciones quedaron fuera del código o qué problema resolvió centralizar las convenciones BraTS.</w:t>
      </w:r>
    </w:p>
    <w:p>
      <w:pPr>
        <w:pStyle w:val="CommentText"/>
      </w:pPr>
      <w:r>
        <w:t xml:space="preserve">Plantilla útil: «Separé X de Y porque necesitaba repetir Z sin volver a ejecutar W». Usa solo el caso que recuerdes y puedas rastrear en el repositorio.</w:t>
      </w:r>
    </w:p>
  </w:comment>
  <w:comment w:id="36" w:author="Revisión editorial" w:initials="RE" w:date="2026-07-23T09:59:00Z">
    <w:p>
      <w:pPr>
        <w:pStyle w:val="CommentText"/>
      </w:pPr>
      <w:r>
        <w:rPr>
          <w:rStyle w:val="CommentReference"/>
        </w:rPr>
        <w:annotationRef/>
      </w:r>
      <w:r>
        <w:t xml:space="preserve">[ALTA · experiencia concreta]</w:t>
      </w:r>
    </w:p>
    <w:p>
      <w:pPr>
        <w:pStyle w:val="CommentText"/>
      </w:pPr>
      <w:r>
        <w:t xml:space="preserve">Este pasaje ya contiene una dificultad real; hazla más visible. Indica qué ocurrió con la caché persistente —espacio requerido, tiempo o comportamiento observado— y por qué copiar los NIfTI al disco local fue la solución elegida.</w:t>
      </w:r>
    </w:p>
    <w:p>
      <w:pPr>
        <w:pStyle w:val="CommentText"/>
      </w:pPr>
      <w:r>
        <w:t xml:space="preserve">No hace falta inventar una cifra si no se registró. Una observación concreta («la caché excedía el almacenamiento del runtime») es mejor que una valoración vaga («resultó poco práctica»), siempre que sea cierta.</w:t>
      </w:r>
    </w:p>
  </w:comment>
  <w:comment w:id="37" w:author="Revisión editorial" w:initials="RE" w:date="2026-07-23T09:59:00Z">
    <w:p>
      <w:pPr>
        <w:pStyle w:val="CommentText"/>
      </w:pPr>
      <w:r>
        <w:rPr>
          <w:rStyle w:val="CommentReference"/>
        </w:rPr>
        <w:annotationRef/>
      </w:r>
      <w:r>
        <w:t xml:space="preserve">[MEDIA · adaptación técnica]</w:t>
      </w:r>
    </w:p>
    <w:p>
      <w:pPr>
        <w:pStyle w:val="CommentText"/>
      </w:pPr>
      <w:r>
        <w:t xml:space="preserve">«Fue una de las adaptaciones» no explica qué cambió. Señala el problema previo: firmas de construcción distintas, parámetros incompatibles, salida multietiqueta, `use_checkpoint` o reconstrucción desde YAML para inferencia.</w:t>
      </w:r>
    </w:p>
    <w:p>
      <w:pPr>
        <w:pStyle w:val="CommentText"/>
      </w:pPr>
      <w:r>
        <w:t xml:space="preserve">Una explicación breve del antes y después deja una huella de desarrollo propio sin convertir la memoria en documentación de código.</w:t>
      </w:r>
    </w:p>
  </w:comment>
  <w:comment w:id="38" w:author="Revisión editorial" w:initials="RE" w:date="2026-07-23T09:59:00Z">
    <w:p>
      <w:pPr>
        <w:pStyle w:val="CommentText"/>
      </w:pPr>
      <w:r>
        <w:rPr>
          <w:rStyle w:val="CommentReference"/>
        </w:rPr>
        <w:annotationRef/>
      </w:r>
      <w:r>
        <w:t xml:space="preserve">[ALTA · punto de giro del proyecto]</w:t>
      </w:r>
    </w:p>
    <w:p>
      <w:pPr>
        <w:pStyle w:val="CommentText"/>
      </w:pPr>
      <w:r>
        <w:t xml:space="preserve">Este es uno de los pasajes con mayor valor autoral. Amplía la cadena de evidencia:</w:t>
      </w:r>
    </w:p>
    <w:p>
      <w:pPr>
        <w:pStyle w:val="CommentText"/>
      </w:pPr>
      <w:r>
        <w:t xml:space="preserve">1. la normalización por modalidad hacía que la media aportara poca variación;
2. el diagnóstico mostró pesos casi constantes entre entradas;
3. por ello incorporaste la desviación típica;
4. el nuevo descriptor aumentó la variación, pero no produjo una mejora consistente.</w:t>
      </w:r>
    </w:p>
    <w:p>
      <w:pPr>
        <w:pStyle w:val="CommentText"/>
      </w:pPr>
      <w:r>
        <w:t xml:space="preserve">Indica qué script o salida apoyó cada paso (`scripts/diagnose_adaptive_gating.py`, métricas de validación o notas de exploración). No presentes la explicación como causa demostrada si solo es una hipótesis compatible con los datos.</w:t>
      </w:r>
    </w:p>
  </w:comment>
  <w:comment w:id="39" w:author="Revisión editorial" w:initials="RE" w:date="2026-07-23T09:59:00Z">
    <w:p>
      <w:pPr>
        <w:pStyle w:val="CommentText"/>
      </w:pPr>
      <w:r>
        <w:rPr>
          <w:rStyle w:val="CommentReference"/>
        </w:rPr>
        <w:annotationRef/>
      </w:r>
      <w:r>
        <w:t xml:space="preserve">[ALTA · exploraciones reales]</w:t>
      </w:r>
    </w:p>
    <w:p>
      <w:pPr>
        <w:pStyle w:val="CommentText"/>
      </w:pPr>
      <w:r>
        <w:t xml:space="preserve">La enumeración parece genérica si no se dice qué se probó y qué criterio llevó a descartarlo. Resume uno o dos resultados observables de las corridas de 5.000 pasos y remite a `docs/adaptive-gating-exploration.md` o a las configuraciones correspondientes.</w:t>
      </w:r>
    </w:p>
    <w:p>
      <w:pPr>
        <w:pStyle w:val="CommentText"/>
      </w:pPr>
      <w:r>
        <w:t xml:space="preserve">Una tabla mínima «variante preliminar → observación → decisión final» sería más clara que una lista larga. Evita afirmar que una opción «no funcionó» si las pruebas cortas no permitían concluirlo.</w:t>
      </w:r>
    </w:p>
  </w:comment>
  <w:comment w:id="40" w:author="Revisión editorial" w:initials="RE" w:date="2026-07-23T09:59:00Z">
    <w:p>
      <w:pPr>
        <w:pStyle w:val="CommentText"/>
      </w:pPr>
      <w:r>
        <w:rPr>
          <w:rStyle w:val="CommentReference"/>
        </w:rPr>
        <w:annotationRef/>
      </w:r>
      <w:r>
        <w:t xml:space="preserve">[BAJA · apertura repetitiva]</w:t>
      </w:r>
    </w:p>
    <w:p>
      <w:pPr>
        <w:pStyle w:val="CommentText"/>
      </w:pPr>
      <w:r>
        <w:t xml:space="preserve">El párrafo vuelve a describir el orden de las subsecciones. Puedes suprimirlo y comenzar por el protocolo común de 4.4.1. Si necesitas contexto, basta una frase: «La evidencia se organizó en una ablación controlada, dos referencias MONAI y una referencia externa nnU-Net».</w:t>
      </w:r>
    </w:p>
  </w:comment>
  <w:comment w:id="41" w:author="Revisión editorial" w:initials="RE" w:date="2026-07-23T09:59:00Z">
    <w:p>
      <w:pPr>
        <w:pStyle w:val="CommentText"/>
      </w:pPr>
      <w:r>
        <w:rPr>
          <w:rStyle w:val="CommentReference"/>
        </w:rPr>
        <w:annotationRef/>
      </w:r>
      <w:r>
        <w:t xml:space="preserve">[ALTA · decisión experimental]</w:t>
      </w:r>
    </w:p>
    <w:p>
      <w:pPr>
        <w:pStyle w:val="CommentText"/>
      </w:pPr>
      <w:r>
        <w:t xml:space="preserve">Especifica qué registro o curva mostró la meseta, con qué frecuencia se validaba y qué criterio práctico llevó a 15.000 pasos. Si no conservaste una curva completa, dilo.</w:t>
      </w:r>
    </w:p>
    <w:p>
      <w:pPr>
        <w:pStyle w:val="CommentText"/>
      </w:pPr>
      <w:r>
        <w:t xml:space="preserve">Posible enfoque: «En la sonda de concatenación, el Dice del subconjunto de validación dejó de mejorar de forma sostenida entre los pasos 12.000 y 15.000; se adoptó el extremo superior como presupuesto común». Confirma que «dejó de mejorar» coincide con los registros y evita llamarlo convergencia demostrada.</w:t>
      </w:r>
    </w:p>
  </w:comment>
  <w:comment w:id="42" w:author="Revisión editorial" w:initials="RE" w:date="2026-07-23T09:59:00Z">
    <w:p>
      <w:pPr>
        <w:pStyle w:val="CommentText"/>
      </w:pPr>
      <w:r>
        <w:rPr>
          <w:rStyle w:val="CommentReference"/>
        </w:rPr>
        <w:annotationRef/>
      </w:r>
      <w:r>
        <w:t xml:space="preserve">[ALTA · explicar el compromiso]</w:t>
      </w:r>
    </w:p>
    <w:p>
      <w:pPr>
        <w:pStyle w:val="CommentText"/>
      </w:pPr>
      <w:r>
        <w:t xml:space="preserve">Aclara por qué se eligieron ocho estudios: duración de una validación completa, restricción de MPS o necesidad de validar cada época. Añade, si existe, una medida aproximada del ahorro.</w:t>
      </w:r>
    </w:p>
    <w:p>
      <w:pPr>
        <w:pStyle w:val="CommentText"/>
      </w:pPr>
      <w:r>
        <w:t xml:space="preserve">Expón después el riesgo aceptado: mayor ruido en `best.pt` y posible poca representatividad de ET/TC/WT. Este tipo de decisión imperfecta pero justificada aporta una voz mucho más propia que una descripción idealizada del pipeline.</w:t>
      </w:r>
    </w:p>
  </w:comment>
  <w:comment w:id="43" w:author="Revisión editorial" w:initials="RE" w:date="2026-07-23T09:59:00Z">
    <w:p>
      <w:pPr>
        <w:pStyle w:val="CommentText"/>
      </w:pPr>
      <w:r>
        <w:rPr>
          <w:rStyle w:val="CommentReference"/>
        </w:rPr>
        <w:annotationRef/>
      </w:r>
      <w:r>
        <w:t xml:space="preserve">[CORRECCIÓN · lenguaje causal]</w:t>
      </w:r>
    </w:p>
    <w:p>
      <w:pPr>
        <w:pStyle w:val="CommentText"/>
      </w:pPr>
      <w:r>
        <w:t xml:space="preserve">Más adelante afirmas que las diferencias «pueden asociarse» al bloque de fusión. Con tres semillas, optimización estocástica y selección sobre ocho estudios, evita un lenguaje causal fuerte. Mantén «comparación controlada» y formula la inferencia así:</w:t>
      </w:r>
    </w:p>
    <w:p>
      <w:pPr>
        <w:pStyle w:val="CommentText"/>
      </w:pPr>
      <w:r>
        <w:t xml:space="preserve">«El diseño reduce las diferencias deliberadas al bloque de fusión y permite interpretar los resultados dentro de la variabilidad observada.»</w:t>
      </w:r>
    </w:p>
    <w:p>
      <w:pPr>
        <w:pStyle w:val="CommentText"/>
      </w:pPr>
      <w:r>
        <w:t xml:space="preserve">Esto conserva el valor de la ablación sin prometer un aislamiento perfecto.</w:t>
      </w:r>
    </w:p>
  </w:comment>
  <w:comment w:id="44" w:author="Revisión editorial" w:initials="RE" w:date="2026-07-23T09:59:00Z">
    <w:p>
      <w:pPr>
        <w:pStyle w:val="CommentText"/>
      </w:pPr>
      <w:r>
        <w:rPr>
          <w:rStyle w:val="CommentReference"/>
        </w:rPr>
        <w:annotationRef/>
      </w:r>
      <w:r>
        <w:t xml:space="preserve">[BAJA · metadiscurso]</w:t>
      </w:r>
    </w:p>
    <w:p>
      <w:pPr>
        <w:pStyle w:val="CommentText"/>
      </w:pPr>
      <w:r>
        <w:t xml:space="preserve">Elimina la enumeración de subsecciones. La frase útil es que `predict` y `evaluate` están separados y que el mismo evaluador se aplica a MONAI y nnU-Net; colócala directamente al inicio de 4.5.1.</w:t>
      </w:r>
    </w:p>
  </w:comment>
  <w:comment w:id="45" w:author="Revisión editorial" w:initials="RE" w:date="2026-07-23T09:59:00Z">
    <w:p>
      <w:pPr>
        <w:pStyle w:val="CommentText"/>
      </w:pPr>
      <w:r>
        <w:rPr>
          <w:rStyle w:val="CommentReference"/>
        </w:rPr>
        <w:annotationRef/>
      </w:r>
      <w:r>
        <w:t xml:space="preserve">[ALTA · cronología y carácter post hoc]</w:t>
      </w:r>
    </w:p>
    <w:p>
      <w:pPr>
        <w:pStyle w:val="CommentText"/>
      </w:pPr>
      <w:r>
        <w:t xml:space="preserve">Indica cuándo se detectó este problema respecto al cierre de los entrenamientos. La expresión «tras identificar» es demasiado vaga para una limitación importante.</w:t>
      </w:r>
    </w:p>
    <w:p>
      <w:pPr>
        <w:pStyle w:val="CommentText"/>
      </w:pPr>
      <w:r>
        <w:t xml:space="preserve">Conserva «post hoc» y explica que el subconjunto de 38 estudios reutiliza predicciones ya generadas, no una nueva partición de entrenamiento. Esto ayuda a distinguir una comprobación de sensibilidad de una validación independiente planificada.</w:t>
      </w:r>
    </w:p>
  </w:comment>
  <w:comment w:id="46" w:author="Revisión editorial" w:initials="RE" w:date="2026-07-23T09:59:00Z">
    <w:p>
      <w:pPr>
        <w:pStyle w:val="CommentText"/>
      </w:pPr>
      <w:r>
        <w:rPr>
          <w:rStyle w:val="CommentReference"/>
        </w:rPr>
        <w:annotationRef/>
      </w:r>
      <w:r>
        <w:t xml:space="preserve">[BAJA · entrada directa]</w:t>
      </w:r>
    </w:p>
    <w:p>
      <w:pPr>
        <w:pStyle w:val="CommentText"/>
      </w:pPr>
      <w:r>
        <w:t xml:space="preserve">Puedes suprimir esta apertura y comenzar con el alcance del análisis. Los lectores ya conocen las configuraciones por el capítulo 4. Una primera frase más informativa sería: «La pregunta principal se evalúa con doce entrenamientos residuales: cuatro estrategias de fusión y tres semillas por estrategia».</w:t>
      </w:r>
    </w:p>
  </w:comment>
  <w:comment w:id="47" w:author="Revisión editorial" w:initials="RE" w:date="2026-07-23T09:59:00Z">
    <w:p>
      <w:pPr>
        <w:pStyle w:val="CommentText"/>
      </w:pPr>
      <w:r>
        <w:rPr>
          <w:rStyle w:val="CommentReference"/>
        </w:rPr>
        <w:annotationRef/>
      </w:r>
      <w:r>
        <w:t xml:space="preserve">[MEDIA · evitar repetición]</w:t>
      </w:r>
    </w:p>
    <w:p>
      <w:pPr>
        <w:pStyle w:val="CommentText"/>
      </w:pPr>
      <w:r>
        <w:t xml:space="preserve">La limitación por sujeto aparece muchas veces en la memoria. Explícala con detalle una sola vez al inicio de Resultados y, después, remite a este apartado en lugar de repetir los 205/243 casos en Resumen, Desarrollo, Resultados, Conclusiones y Limitaciones.</w:t>
      </w:r>
    </w:p>
    <w:p>
      <w:pPr>
        <w:pStyle w:val="CommentText"/>
      </w:pPr>
      <w:r>
        <w:t xml:space="preserve">Aquí sí conviene conservar cifras y consecuencia: comparación interna válida bajo un reparto común, generalización a pacientes nuevos no estimada de forma independiente.</w:t>
      </w:r>
    </w:p>
  </w:comment>
  <w:comment w:id="48" w:author="Revisión editorial" w:initials="RE" w:date="2026-07-23T09:59:00Z">
    <w:p>
      <w:pPr>
        <w:pStyle w:val="CommentText"/>
      </w:pPr>
      <w:r>
        <w:rPr>
          <w:rStyle w:val="CommentReference"/>
        </w:rPr>
        <w:annotationRef/>
      </w:r>
      <w:r>
        <w:t xml:space="preserve">[ALTA · análisis de la anomalía]</w:t>
      </w:r>
    </w:p>
    <w:p>
      <w:pPr>
        <w:pStyle w:val="CommentText"/>
      </w:pPr>
      <w:r>
        <w:t xml:space="preserve">Añade qué viste en la trayectoria de entrenamiento: ¿la pérdida divergió, el Dice de validación nunca subió, el checkpoint seleccionado fue inestable o el deterioro apareció al final? Si no conservaste esa evidencia, declara que no pudiste reconstruir la dinámica.</w:t>
      </w:r>
    </w:p>
    <w:p>
      <w:pPr>
        <w:pStyle w:val="CommentText"/>
      </w:pPr>
      <w:r>
        <w:t xml:space="preserve">También puedes mencionar qué resultado te sorprendió más y qué hipótesis consideraste. Distingue siempre entre observación («Dice 0,347») e interpretación («posible inestabilidad de optimización»).</w:t>
      </w:r>
    </w:p>
  </w:comment>
  <w:comment w:id="49" w:author="Revisión editorial" w:initials="RE" w:date="2026-07-23T09:59:00Z">
    <w:p>
      <w:pPr>
        <w:pStyle w:val="CommentText"/>
      </w:pPr>
      <w:r>
        <w:rPr>
          <w:rStyle w:val="CommentReference"/>
        </w:rPr>
        <w:annotationRef/>
      </w:r>
      <w:r>
        <w:t xml:space="preserve">[ALTA · trazabilidad del diagnóstico]</w:t>
      </w:r>
    </w:p>
    <w:p>
      <w:pPr>
        <w:pStyle w:val="CommentText"/>
      </w:pPr>
      <w:r>
        <w:t xml:space="preserve">Nombra el procedimiento que generó este resultado: 40 estudios de validación, checkpoint final, estadísticos calculados y script o artefacto. Después formula la inferencia en dos pasos:</w:t>
      </w:r>
    </w:p>
    <w:p>
      <w:pPr>
        <w:pStyle w:val="CommentText"/>
      </w:pPr>
      <w:r>
        <w:t xml:space="preserve">«Los pesos apenas variaron entre entradas. Por ello, el mecanismo se comportó de forma próxima a una ponderación estática.»</w:t>
      </w:r>
    </w:p>
    <w:p>
      <w:pPr>
        <w:pStyle w:val="CommentText"/>
      </w:pPr>
      <w:r>
        <w:t xml:space="preserve">La hipótesis de que los descriptores aportaban poca señal debe quedar como compatible con la evidencia, no como causa demostrada del bajo Dice.</w:t>
      </w:r>
    </w:p>
  </w:comment>
  <w:comment w:id="50" w:author="Revisión editorial" w:initials="RE" w:date="2026-07-23T09:59:00Z">
    <w:p>
      <w:pPr>
        <w:pStyle w:val="CommentText"/>
      </w:pPr>
      <w:r>
        <w:rPr>
          <w:rStyle w:val="CommentReference"/>
        </w:rPr>
        <w:annotationRef/>
      </w:r>
      <w:r>
        <w:t xml:space="preserve">[CORRECCIÓN · prudencia post hoc]</w:t>
      </w:r>
    </w:p>
    <w:p>
      <w:pPr>
        <w:pStyle w:val="CommentText"/>
      </w:pPr>
      <w:r>
        <w:t xml:space="preserve">«Respalda» puede sugerir una validación independiente que este subconjunto no ofrece. Mejor:</w:t>
      </w:r>
    </w:p>
    <w:p>
      <w:pPr>
        <w:pStyle w:val="CommentText"/>
      </w:pPr>
      <w:r>
        <w:t xml:space="preserve">«La ordenación descriptiva no cambia en este subconjunto, aunque su carácter post hoc y su tamaño impiden tratarlo como una estimación independiente de generalización.»</w:t>
      </w:r>
    </w:p>
    <w:p>
      <w:pPr>
        <w:pStyle w:val="CommentText"/>
      </w:pPr>
      <w:r>
        <w:t xml:space="preserve">Esta redacción informa del resultado sin otorgarle más peso del que permite el diseño.</w:t>
      </w:r>
    </w:p>
  </w:comment>
  <w:comment w:id="51" w:author="Revisión editorial" w:initials="RE" w:date="2026-07-23T09:59:00Z">
    <w:p>
      <w:pPr>
        <w:pStyle w:val="CommentText"/>
      </w:pPr>
      <w:r>
        <w:rPr>
          <w:rStyle w:val="CommentReference"/>
        </w:rPr>
        <w:annotationRef/>
      </w:r>
      <w:r>
        <w:t xml:space="preserve">[MEDIA · interpretación equilibrada]</w:t>
      </w:r>
    </w:p>
    <w:p>
      <w:pPr>
        <w:pStyle w:val="CommentText"/>
      </w:pPr>
      <w:r>
        <w:t xml:space="preserve">El párrafo es prudente, pero añade qué aprendiste de la comparación: ¿el resultado sugirió que la auto-configuración del pipeline tenía más impacto que añadir una compuerta ligera? Puedes formularlo como hipótesis de diseño, no como conclusión causal.</w:t>
      </w:r>
    </w:p>
    <w:p>
      <w:pPr>
        <w:pStyle w:val="CommentText"/>
      </w:pPr>
      <w:r>
        <w:t xml:space="preserve">Recuerda que una sola corrida de nnU-Net no permite comparar variabilidad. Evita que «referencia fuerte» se convierta después en «modelo superior» sin esa salvedad.</w:t>
      </w:r>
    </w:p>
  </w:comment>
  <w:comment w:id="52" w:author="Revisión editorial" w:initials="RE" w:date="2026-07-23T09:59:00Z">
    <w:p>
      <w:pPr>
        <w:pStyle w:val="CommentText"/>
      </w:pPr>
      <w:r>
        <w:rPr>
          <w:rStyle w:val="CommentReference"/>
        </w:rPr>
        <w:annotationRef/>
      </w:r>
      <w:r>
        <w:t xml:space="preserve">[MEDIA · simplificar cautela]</w:t>
      </w:r>
    </w:p>
    <w:p>
      <w:pPr>
        <w:pStyle w:val="CommentText"/>
      </w:pPr>
      <w:r>
        <w:t xml:space="preserve">La convención de HD95 ya se explica en 2.5.2, 4.5.2 y 5.1. Mantén aquí solo la consecuencia concreta para la Tabla 14:</w:t>
      </w:r>
    </w:p>
    <w:p>
      <w:pPr>
        <w:pStyle w:val="CommentText"/>
      </w:pPr>
      <w:r>
        <w:t xml:space="preserve">«Como los infinitos se excluyen, una media menor puede reflejar tanto superficies más próximas como un conjunto distinto de casos finitos; por eso se reporta también n.»</w:t>
      </w:r>
    </w:p>
    <w:p>
      <w:pPr>
        <w:pStyle w:val="CommentText"/>
      </w:pPr>
      <w:r>
        <w:t xml:space="preserve">Elimina las repeticiones restantes o remite a la definición metodológica.</w:t>
      </w:r>
    </w:p>
  </w:comment>
  <w:comment w:id="53" w:author="Revisión editorial" w:initials="RE" w:date="2026-07-23T09:59:00Z">
    <w:p>
      <w:pPr>
        <w:pStyle w:val="CommentText"/>
      </w:pPr>
      <w:r>
        <w:rPr>
          <w:rStyle w:val="CommentReference"/>
        </w:rPr>
        <w:annotationRef/>
      </w:r>
      <w:r>
        <w:t xml:space="preserve">[ALTA · cuantificar sin sobreinterpretar]</w:t>
      </w:r>
    </w:p>
    <w:p>
      <w:pPr>
        <w:pStyle w:val="CommentText"/>
      </w:pPr>
      <w:r>
        <w:t xml:space="preserve">Puedes expresar el efecto observado: las variantes ponderadas tardaron aproximadamente un 13–20 % más que la concatenación en las ejecuciones MPS. Inmediatamente aclara que son tiempos de pared sin un benchmark aislado y pueden incluir E/S, carga y validación.</w:t>
      </w:r>
    </w:p>
    <w:p>
      <w:pPr>
        <w:pStyle w:val="CommentText"/>
      </w:pPr>
      <w:r>
        <w:t xml:space="preserve">Esta combinación —magnitud observada más límite de atribución— es más informativa que «no implica un coste nulo». Verifica el porcentaje con los extremos que decidas comparar.</w:t>
      </w:r>
    </w:p>
  </w:comment>
  <w:comment w:id="54" w:author="Revisión editorial" w:initials="RE" w:date="2026-07-23T09:59:00Z">
    <w:p>
      <w:pPr>
        <w:pStyle w:val="CommentText"/>
      </w:pPr>
      <w:r>
        <w:rPr>
          <w:rStyle w:val="CommentReference"/>
        </w:rPr>
        <w:annotationRef/>
      </w:r>
      <w:r>
        <w:t xml:space="preserve">[ALTA · selección del ejemplo]</w:t>
      </w:r>
    </w:p>
    <w:p>
      <w:pPr>
        <w:pStyle w:val="CommentText"/>
      </w:pPr>
      <w:r>
        <w:t xml:space="preserve">Ya reconoces que el caso favorece a concatenación, lo cual es transparente. Añade el procedimiento exacto de selección: si buscaste deliberadamente un sujeto nuevo con las tres regiones visibles después de ver las métricas, dilo; si el criterio se fijó antes, indícalo.</w:t>
      </w:r>
    </w:p>
    <w:p>
      <w:pPr>
        <w:pStyle w:val="CommentText"/>
      </w:pPr>
      <w:r>
        <w:t xml:space="preserve">Considera mostrar también un caso definido por un criterio reproducible —por ejemplo, mediana de Dice— si conservas las predicciones. Si no, mantén la figura como ilustración y evita generalizar desde ella.</w:t>
      </w:r>
    </w:p>
  </w:comment>
  <w:comment w:id="55" w:author="Revisión editorial" w:initials="RE" w:date="2026-07-23T09:59:00Z">
    <w:p>
      <w:pPr>
        <w:pStyle w:val="CommentText"/>
      </w:pPr>
      <w:r>
        <w:rPr>
          <w:rStyle w:val="CommentReference"/>
        </w:rPr>
        <w:annotationRef/>
      </w:r>
      <w:r>
        <w:t xml:space="preserve">[BAJA · repetición]</w:t>
      </w:r>
    </w:p>
    <w:p>
      <w:pPr>
        <w:pStyle w:val="CommentText"/>
      </w:pPr>
      <w:r>
        <w:t xml:space="preserve">La lista vuelve a resumir 5.2–5.5 y después 6.1 repite las mismas cifras. Puedes conservar una síntesis muy breve —respuesta, principal evidencia y límite— y trasladar la interpretación a Conclusiones.</w:t>
      </w:r>
    </w:p>
    <w:p>
      <w:pPr>
        <w:pStyle w:val="CommentText"/>
      </w:pPr>
      <w:r>
        <w:t xml:space="preserve">Una regla útil: si una viñeta solo reproduce una fila de tabla, elimínala; si conecta varios resultados o responde a la pregunta, consérvala.</w:t>
      </w:r>
    </w:p>
  </w:comment>
  <w:comment w:id="56" w:author="Revisión editorial" w:initials="RE" w:date="2026-07-23T09:59:00Z">
    <w:p>
      <w:pPr>
        <w:pStyle w:val="CommentText"/>
      </w:pPr>
      <w:r>
        <w:rPr>
          <w:rStyle w:val="CommentReference"/>
        </w:rPr>
        <w:annotationRef/>
      </w:r>
      <w:r>
        <w:t xml:space="preserve">[BAJA · apertura formularia]</w:t>
      </w:r>
    </w:p>
    <w:p>
      <w:pPr>
        <w:pStyle w:val="CommentText"/>
      </w:pPr>
      <w:r>
        <w:t xml:space="preserve">Empieza directamente por la respuesta de 6.1. El índice ya informa de que después se revisan objetivos, contribución, limitaciones y trabajo futuro.</w:t>
      </w:r>
    </w:p>
  </w:comment>
  <w:comment w:id="57" w:author="Revisión editorial" w:initials="RE" w:date="2026-07-23T09:59:00Z">
    <w:p>
      <w:pPr>
        <w:pStyle w:val="CommentText"/>
      </w:pPr>
      <w:r>
        <w:rPr>
          <w:rStyle w:val="CommentReference"/>
        </w:rPr>
        <w:annotationRef/>
      </w:r>
      <w:r>
        <w:t xml:space="preserve">[ALTA · conclusión directa]</w:t>
      </w:r>
    </w:p>
    <w:p>
      <w:pPr>
        <w:pStyle w:val="CommentText"/>
      </w:pPr>
      <w:r>
        <w:t xml:space="preserve">Esta es la frase nuclear y puede abrir el capítulo. Posible versión:</w:t>
      </w:r>
    </w:p>
    <w:p>
      <w:pPr>
        <w:pStyle w:val="CommentText"/>
      </w:pPr>
      <w:r>
        <w:t xml:space="preserve">«Bajo el protocolo evaluado, las compuertas ligeras no mejoraron de forma consistente la concatenación: dos de sus tres ejecuciones fueron comparables al control, pero una ejecución de cada variante presentó un rendimiento muy inferior.»</w:t>
      </w:r>
    </w:p>
    <w:p>
      <w:pPr>
        <w:pStyle w:val="CommentText"/>
      </w:pPr>
      <w:r>
        <w:t xml:space="preserve">Después añade en un segundo párrafo que los pesos apenas se adaptaron entre estudios y limita el alcance. No repitas de nuevo todas las cifras de 5.2 salvo las dos imprescindibles.</w:t>
      </w:r>
    </w:p>
  </w:comment>
  <w:comment w:id="58" w:author="Revisión editorial" w:initials="RE" w:date="2026-07-23T09:59:00Z">
    <w:p>
      <w:pPr>
        <w:pStyle w:val="CommentText"/>
      </w:pPr>
      <w:r>
        <w:rPr>
          <w:rStyle w:val="CommentReference"/>
        </w:rPr>
        <w:annotationRef/>
      </w:r>
      <w:r>
        <w:t xml:space="preserve">[MEDIA · evidencias por objetivo]</w:t>
      </w:r>
    </w:p>
    <w:p>
      <w:pPr>
        <w:pStyle w:val="CommentText"/>
      </w:pPr>
      <w:r>
        <w:t xml:space="preserve">Convierte esta sección en una comprobación compacta «objetivo → evidencia → límite». Ejemplos de evidencia: módulo/configuración, doce corridas de la ablación, tabla de métricas, diagnóstico de pesos.</w:t>
      </w:r>
    </w:p>
    <w:p>
      <w:pPr>
        <w:pStyle w:val="CommentText"/>
      </w:pPr>
      <w:r>
        <w:t xml:space="preserve">Evita repetir aquí la clasificación completa de nnU-Net, Swin-UNETR, Attention U-Net y Residual U-Net; ya aparece en 5.3. Para el coste, indica con precisión qué parte quedó incompleta.</w:t>
      </w:r>
    </w:p>
  </w:comment>
  <w:comment w:id="59" w:author="Revisión editorial" w:initials="RE" w:date="2026-07-23T09:59:00Z">
    <w:p>
      <w:pPr>
        <w:pStyle w:val="CommentText"/>
      </w:pPr>
      <w:r>
        <w:rPr>
          <w:rStyle w:val="CommentReference"/>
        </w:rPr>
        <w:annotationRef/>
      </w:r>
      <w:r>
        <w:t xml:space="preserve">[ALTA · contribución defendible]</w:t>
      </w:r>
    </w:p>
    <w:p>
      <w:pPr>
        <w:pStyle w:val="CommentText"/>
      </w:pPr>
      <w:r>
        <w:t xml:space="preserve">Haz la contribución más específica y verificable:</w:t>
      </w:r>
    </w:p>
    <w:p>
      <w:pPr>
        <w:pStyle w:val="CommentText"/>
      </w:pPr>
      <w:r>
        <w:t xml:space="preserve">«El trabajo aporta una ablación de cuatro reglas tempranas de fusión sobre una Residual U-Net común, tres semillas por regla y un diagnóstico de los pesos generados por las compuertas, además del pipeline que permite reproducirla.»</w:t>
      </w:r>
    </w:p>
    <w:p>
      <w:pPr>
        <w:pStyle w:val="CommentText"/>
      </w:pPr>
      <w:r>
        <w:t xml:space="preserve">Después explica qué aprendiste del resultado negativo. Esta contribución no depende de presentar una arquitectura novedosa ni de que la hipótesis inicial fuera confirmada.</w:t>
      </w:r>
    </w:p>
  </w:comment>
  <w:comment w:id="60" w:author="Revisión editorial" w:initials="RE" w:date="2026-07-23T09:59:00Z">
    <w:p>
      <w:pPr>
        <w:pStyle w:val="CommentText"/>
      </w:pPr>
      <w:r>
        <w:rPr>
          <w:rStyle w:val="CommentReference"/>
        </w:rPr>
        <w:annotationRef/>
      </w:r>
      <w:r>
        <w:t xml:space="preserve">[ALTA · priorizar impactos]</w:t>
      </w:r>
    </w:p>
    <w:p>
      <w:pPr>
        <w:pStyle w:val="CommentText"/>
      </w:pPr>
      <w:r>
        <w:t xml:space="preserve">La lista es sólida, pero todas las limitaciones aparecen al mismo nivel. Ordénalas por el tipo de validez afectada:</w:t>
      </w:r>
    </w:p>
    <w:p>
      <w:pPr>
        <w:pStyle w:val="CommentText"/>
      </w:pPr>
      <w:r>
        <w:t xml:space="preserve">1. generalización: partición por estudio y dominio único;
2. estabilidad de la estimación: tres semillas y un solo fold de nnU-Net;
3. selección/evaluación: ocho casos de validación y convención de HD95;
4. comparabilidad/coste: hardware e instrumentación heterogéneos;
5. alcance del mecanismo: pesos globales antes del codificador.</w:t>
      </w:r>
    </w:p>
    <w:p>
      <w:pPr>
        <w:pStyle w:val="CommentText"/>
      </w:pPr>
      <w:r>
        <w:t xml:space="preserve">Indica cuál consideras más importante y qué conclusión concreta obliga a restringir.</w:t>
      </w:r>
    </w:p>
  </w:comment>
  <w:comment w:id="61" w:author="Revisión editorial" w:initials="RE" w:date="2026-07-23T09:59:00Z">
    <w:p>
      <w:pPr>
        <w:pStyle w:val="CommentText"/>
      </w:pPr>
      <w:r>
        <w:rPr>
          <w:rStyle w:val="CommentReference"/>
        </w:rPr>
        <w:annotationRef/>
      </w:r>
      <w:r>
        <w:t xml:space="preserve">[ALTA · priorizar trabajo futuro]</w:t>
      </w:r>
    </w:p>
    <w:p>
      <w:pPr>
        <w:pStyle w:val="CommentText"/>
      </w:pPr>
      <w:r>
        <w:t xml:space="preserve">No presentes todas las extensiones como igualmente probables. Elige la primera prueba que harías y relaciónala con el hallazgo central.</w:t>
      </w:r>
    </w:p>
    <w:p>
      <w:pPr>
        <w:pStyle w:val="CommentText"/>
      </w:pPr>
      <w:r>
        <w:t xml:space="preserve">Ejemplo de razonamiento: si el problema fue la escasa variación de descriptores globales, la siguiente ablación debería comparar una señal espacial o características intermedias manteniendo fija la red base. Si la prioridad es validez externa, antes habría que rehacer el reparto por sujeto. Explica por qué eliges una de las dos.</w:t>
      </w:r>
    </w:p>
  </w:comment>
  <w:comment w:id="62" w:author="Revisión editorial" w:initials="RE" w:date="2026-07-23T09:59:00Z">
    <w:p>
      <w:pPr>
        <w:pStyle w:val="CommentText"/>
      </w:pPr>
      <w:r>
        <w:rPr>
          <w:rStyle w:val="CommentReference"/>
        </w:rPr>
        <w:annotationRef/>
      </w:r>
      <w:r>
        <w:t xml:space="preserve">[BAJA · cierre duplicado]</w:t>
      </w:r>
    </w:p>
    <w:p>
      <w:pPr>
        <w:pStyle w:val="CommentText"/>
      </w:pPr>
      <w:r>
        <w:t xml:space="preserve">Este párrafo repite 5.6 y 6.1. Puedes cerrarlo con una sola idea aprendida, formulada con tu criterio:</w:t>
      </w:r>
    </w:p>
    <w:p>
      <w:pPr>
        <w:pStyle w:val="CommentText"/>
      </w:pPr>
      <w:r>
        <w:t xml:space="preserve">«El experimento muestra que añadir adaptabilidad nominal no basta si la señal que condiciona los pesos apenas distingue las entradas.»</w:t>
      </w:r>
    </w:p>
    <w:p>
      <w:pPr>
        <w:pStyle w:val="CommentText"/>
      </w:pPr>
      <w:r>
        <w:t xml:space="preserve">Usa esta formulación solo si representa tu interpretación y conserva la cautela de que la causa no quedó demostrada.</w:t>
      </w:r>
    </w:p>
  </w:comment>
  <w:comment w:id="63" w:author="Revisión editorial" w:initials="RE" w:date="2026-07-23T09:59:00Z">
    <w:p>
      <w:pPr>
        <w:pStyle w:val="CommentText"/>
      </w:pPr>
      <w:r>
        <w:rPr>
          <w:rStyle w:val="CommentReference"/>
        </w:rPr>
        <w:annotationRef/>
      </w:r>
      <w:r>
        <w:t xml:space="preserve">[MEDIA · verificación final]</w:t>
      </w:r>
    </w:p>
    <w:p>
      <w:pPr>
        <w:pStyle w:val="CommentText"/>
      </w:pPr>
      <w:r>
        <w:t xml:space="preserve">El apéndice es la parte con mayor trazabilidad propia. Refuérzalo indicando qué comandos se volvieron a ejecutar desde un clon limpio, en qué entorno y qué artefactos no están disponibles.</w:t>
      </w:r>
    </w:p>
    <w:p>
      <w:pPr>
        <w:pStyle w:val="CommentText"/>
      </w:pPr>
      <w:r>
        <w:t xml:space="preserve">Antes de entregar, comprueba también que las rutas y nombres citados siguen existiendo en el commit final; una memoria reproducible debe apuntar a una versión congelada, no a un estado móvil del repositorio.</w:t>
      </w:r>
    </w:p>
  </w:comment>
  <w:comment w:id="64" w:author="Revisión editorial" w:initials="RE" w:date="2026-07-23T09:59:00Z">
    <w:p>
      <w:pPr>
        <w:pStyle w:val="CommentText"/>
      </w:pPr>
      <w:r>
        <w:rPr>
          <w:rStyle w:val="CommentReference"/>
        </w:rPr>
        <w:annotationRef/>
      </w:r>
      <w:r>
        <w:t xml:space="preserve">[ALTA · versión exacta]</w:t>
      </w:r>
    </w:p>
    <w:p>
      <w:pPr>
        <w:pStyle w:val="CommentText"/>
      </w:pPr>
      <w:r>
        <w:t xml:space="preserve">`main` es una referencia móvil y no identifica la entrega. Añade el SHA completo del commit final y cambia el ejemplo a `git checkout &lt;sha&gt;`.</w:t>
      </w:r>
    </w:p>
    <w:p>
      <w:pPr>
        <w:pStyle w:val="CommentText"/>
      </w:pPr>
      <w:r>
        <w:t xml:space="preserve">En el momento de crear esta revisión, `HEAD` era `89c778d211264fab2ae835f60b10347e677783c9`; vuelve a obtenerlo después de aplicar las correcciones y usa el valor definitivo. Añade también las versiones efectivas de Python, PyTorch, MONAI y nnU-Net empleadas en las ejecuciones finales.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094A" w:rsidRDefault="001A094A" w14:paraId="3D297B2A" w14:textId="77777777">
      <w:pPr>
        <w:spacing w:after="0" w:line="240" w:lineRule="auto"/>
      </w:pPr>
      <w:r>
        <w:separator/>
      </w:r>
    </w:p>
  </w:endnote>
  <w:endnote w:type="continuationSeparator" w:id="0">
    <w:p w:rsidR="001A094A" w:rsidRDefault="001A094A" w14:paraId="342E25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06358" w:rsidRDefault="00882A77" w14:paraId="1E8921DB" w14:textId="28DCFD6A">
    <w:pPr>
      <w:pStyle w:val="Piedepgina"/>
    </w:pPr>
    <w:r>
      <w:rPr>
        <w:noProof/>
      </w:rPr>
      <mc:AlternateContent>
        <mc:Choice Requires="wps">
          <w:drawing>
            <wp:anchor distT="0" distB="0" distL="0" distR="0" simplePos="0" relativeHeight="20" behindDoc="1" locked="0" layoutInCell="1" allowOverlap="1" wp14:anchorId="619BBB6F" wp14:editId="2F7EA718">
              <wp:simplePos x="0" y="0"/>
              <wp:positionH relativeFrom="page">
                <wp:posOffset>5956935</wp:posOffset>
              </wp:positionH>
              <wp:positionV relativeFrom="paragraph">
                <wp:posOffset>292735</wp:posOffset>
              </wp:positionV>
              <wp:extent cx="689610" cy="295275"/>
              <wp:effectExtent l="0" t="0" r="0" b="0"/>
              <wp:wrapNone/>
              <wp:docPr id="744654448"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1323943781"/>
                            <w:docPartObj>
                              <w:docPartGallery w:val="Page Numbers (Bottom of Page)"/>
                              <w:docPartUnique/>
                            </w:docPartObj>
                          </w:sdtPr>
                          <w:sdtEndPr/>
                          <w:sdtContent>
                            <w:p w:rsidR="00906358" w:rsidRDefault="00A973DB" w14:paraId="7892684E" w14:textId="77777777">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ángulo 2" style="position:absolute;left:0;text-align:left;margin-left:469.05pt;margin-top:23.05pt;width:54.3pt;height:23.25pt;z-index:-5033164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ed="f" stroked="f" strokeweight=".18mm" w14:anchorId="619BBB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">
              <v:textbox>
                <w:txbxContent>
                  <w:sdt>
                    <w:sdtPr>
                      <w:id w:val="1323943781"/>
                      <w:docPartObj>
                        <w:docPartGallery w:val="Page Numbers (Bottom of Page)"/>
                        <w:docPartUnique/>
                      </w:docPartObj>
                    </w:sdtPr>
                    <w:sdtEndPr/>
                    <w:sdtContent>
                      <w:p w:rsidR="00906358" w:rsidRDefault="00A973DB" w14:paraId="7892684E" w14:textId="77777777">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06358" w:rsidRDefault="00882A77" w14:paraId="1257A534" w14:textId="50C64BA3">
    <w:pPr>
      <w:pStyle w:val="Piedepgina"/>
    </w:pPr>
    <w:r>
      <w:rPr>
        <w:noProof/>
      </w:rPr>
      <mc:AlternateContent>
        <mc:Choice Requires="wps">
          <w:drawing>
            <wp:anchor distT="0" distB="0" distL="0" distR="0" simplePos="0" relativeHeight="13" behindDoc="1" locked="0" layoutInCell="1" allowOverlap="1" wp14:anchorId="2F9B8378" wp14:editId="44677A29">
              <wp:simplePos x="0" y="0"/>
              <wp:positionH relativeFrom="page">
                <wp:posOffset>5956935</wp:posOffset>
              </wp:positionH>
              <wp:positionV relativeFrom="paragraph">
                <wp:posOffset>292735</wp:posOffset>
              </wp:positionV>
              <wp:extent cx="689610" cy="295275"/>
              <wp:effectExtent l="0" t="0" r="0" b="0"/>
              <wp:wrapNone/>
              <wp:docPr id="526202203"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467964983"/>
                            <w:docPartObj>
                              <w:docPartGallery w:val="Page Numbers (Bottom of Page)"/>
                              <w:docPartUnique/>
                            </w:docPartObj>
                          </w:sdtPr>
                          <w:sdtEndPr/>
                          <w:sdtContent>
                            <w:p w:rsidR="00906358" w:rsidRDefault="00A973DB" w14:paraId="754E8AD0" w14:textId="77777777">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ángulo 1" style="position:absolute;left:0;text-align:left;margin-left:469.05pt;margin-top:23.05pt;width:54.3pt;height:23.25pt;z-index:-5033164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7" filled="f" stroked="f" strokeweight=".18mm" w14:anchorId="2F9B8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">
              <v:textbox>
                <w:txbxContent>
                  <w:sdt>
                    <w:sdtPr>
                      <w:id w:val="467964983"/>
                      <w:docPartObj>
                        <w:docPartGallery w:val="Page Numbers (Bottom of Page)"/>
                        <w:docPartUnique/>
                      </w:docPartObj>
                    </w:sdtPr>
                    <w:sdtEndPr/>
                    <w:sdtContent>
                      <w:p w:rsidR="00906358" w:rsidRDefault="00A973DB" w14:paraId="754E8AD0" w14:textId="77777777">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3.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06910F8B" w:rsidTr="06910F8B" w14:paraId="14CDCC7D">
      <w:trPr>
        <w:trHeight w:val="300"/>
      </w:trPr>
      <w:tc>
        <w:tcPr>
          <w:tcW w:w="2830" w:type="dxa"/>
          <w:tcMar/>
        </w:tcPr>
        <w:p w:rsidR="06910F8B" w:rsidP="06910F8B" w:rsidRDefault="06910F8B" w14:paraId="65C63603" w14:textId="02A664A4">
          <w:pPr>
            <w:pStyle w:val="Encabezado"/>
            <w:bidi w:val="0"/>
            <w:ind w:left="-115"/>
            <w:jc w:val="left"/>
          </w:pPr>
        </w:p>
      </w:tc>
      <w:tc>
        <w:tcPr>
          <w:tcW w:w="2830" w:type="dxa"/>
          <w:tcMar/>
        </w:tcPr>
        <w:p w:rsidR="06910F8B" w:rsidP="06910F8B" w:rsidRDefault="06910F8B" w14:paraId="28A516D3" w14:textId="1EDC9405">
          <w:pPr>
            <w:pStyle w:val="Encabezado"/>
            <w:bidi w:val="0"/>
            <w:jc w:val="center"/>
          </w:pPr>
        </w:p>
      </w:tc>
      <w:tc>
        <w:tcPr>
          <w:tcW w:w="2830" w:type="dxa"/>
          <w:tcMar/>
        </w:tcPr>
        <w:p w:rsidR="06910F8B" w:rsidP="06910F8B" w:rsidRDefault="06910F8B" w14:paraId="45F0DE30" w14:textId="6796DA43">
          <w:pPr>
            <w:pStyle w:val="Encabezado"/>
            <w:bidi w:val="0"/>
            <w:ind w:right="-115"/>
            <w:jc w:val="right"/>
          </w:pPr>
        </w:p>
      </w:tc>
    </w:tr>
  </w:tbl>
  <w:p w:rsidR="06910F8B" w:rsidP="06910F8B" w:rsidRDefault="06910F8B" w14:paraId="6A10A2B2" w14:textId="15B3914B">
    <w:pPr>
      <w:pStyle w:val="Piedepgina"/>
      <w:bidi w:val="0"/>
    </w:pPr>
  </w:p>
</w:ftr>
</file>

<file path=word/footer4.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06910F8B" w:rsidTr="06910F8B" w14:paraId="6FA1F337">
      <w:trPr>
        <w:trHeight w:val="300"/>
      </w:trPr>
      <w:tc>
        <w:tcPr>
          <w:tcW w:w="2830" w:type="dxa"/>
          <w:tcMar/>
        </w:tcPr>
        <w:p w:rsidR="06910F8B" w:rsidP="06910F8B" w:rsidRDefault="06910F8B" w14:paraId="081362DC" w14:textId="4D26B2F6">
          <w:pPr>
            <w:pStyle w:val="Encabezado"/>
            <w:bidi w:val="0"/>
            <w:ind w:left="-115"/>
            <w:jc w:val="left"/>
          </w:pPr>
        </w:p>
      </w:tc>
      <w:tc>
        <w:tcPr>
          <w:tcW w:w="2830" w:type="dxa"/>
          <w:tcMar/>
        </w:tcPr>
        <w:p w:rsidR="06910F8B" w:rsidP="06910F8B" w:rsidRDefault="06910F8B" w14:paraId="531F4BC9" w14:textId="07042D7E">
          <w:pPr>
            <w:pStyle w:val="Encabezado"/>
            <w:bidi w:val="0"/>
            <w:jc w:val="center"/>
          </w:pPr>
        </w:p>
      </w:tc>
      <w:tc>
        <w:tcPr>
          <w:tcW w:w="2830" w:type="dxa"/>
          <w:tcMar/>
        </w:tcPr>
        <w:p w:rsidR="06910F8B" w:rsidP="06910F8B" w:rsidRDefault="06910F8B" w14:paraId="1D9F3906" w14:textId="07747D5E">
          <w:pPr>
            <w:pStyle w:val="Encabezado"/>
            <w:bidi w:val="0"/>
            <w:ind w:right="-115"/>
            <w:jc w:val="right"/>
          </w:pPr>
        </w:p>
      </w:tc>
    </w:tr>
  </w:tbl>
  <w:p w:rsidR="06910F8B" w:rsidP="06910F8B" w:rsidRDefault="06910F8B" w14:paraId="5BD334C9" w14:textId="52C4112B">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094A" w:rsidRDefault="001A094A" w14:paraId="1CEDFA78" w14:textId="77777777">
      <w:pPr>
        <w:spacing w:after="0" w:line="240" w:lineRule="auto"/>
      </w:pPr>
      <w:r>
        <w:separator/>
      </w:r>
    </w:p>
  </w:footnote>
  <w:footnote w:type="continuationSeparator" w:id="0">
    <w:p w:rsidR="001A094A" w:rsidRDefault="001A094A" w14:paraId="722A1AB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06358" w:rsidRDefault="00A973DB" w14:paraId="7F92FE63" w14:textId="77777777">
    <w:pPr>
      <w:pStyle w:val="Cabeceraizquierda"/>
    </w:pPr>
    <w:r>
      <w:rPr>
        <w:noProof/>
      </w:rPr>
      <w:drawing>
        <wp:anchor distT="0" distB="0" distL="0" distR="0" simplePos="0" relativeHeight="29"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7"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06358" w:rsidRDefault="00A973DB" w14:paraId="4930E05E" w14:textId="77777777">
    <w:pPr>
      <w:pStyle w:val="Encabezado"/>
    </w:pPr>
    <w:r>
      <w:rPr>
        <w:noProof/>
      </w:rPr>
      <w:drawing>
        <wp:anchor distT="0" distB="0" distL="0" distR="0" simplePos="0" relativeHeight="7" behindDoc="1" locked="0" layoutInCell="1" allowOverlap="1" wp14:anchorId="29156755" wp14:editId="3529E3AC">
          <wp:simplePos x="0" y="0"/>
          <wp:positionH relativeFrom="column">
            <wp:posOffset>-713105</wp:posOffset>
          </wp:positionH>
          <wp:positionV relativeFrom="paragraph">
            <wp:posOffset>-71120</wp:posOffset>
          </wp:positionV>
          <wp:extent cx="1644650" cy="822325"/>
          <wp:effectExtent l="0" t="0" r="0" b="0"/>
          <wp:wrapNone/>
          <wp:docPr id="6"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3.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06910F8B" w:rsidTr="06910F8B" w14:paraId="1B318740">
      <w:trPr>
        <w:trHeight w:val="300"/>
      </w:trPr>
      <w:tc>
        <w:tcPr>
          <w:tcW w:w="2830" w:type="dxa"/>
          <w:tcMar/>
        </w:tcPr>
        <w:p w:rsidR="06910F8B" w:rsidP="06910F8B" w:rsidRDefault="06910F8B" w14:paraId="41FE3737" w14:textId="1660B721">
          <w:pPr>
            <w:pStyle w:val="Encabezado"/>
            <w:bidi w:val="0"/>
            <w:ind w:left="-115"/>
            <w:jc w:val="left"/>
          </w:pPr>
        </w:p>
      </w:tc>
      <w:tc>
        <w:tcPr>
          <w:tcW w:w="2830" w:type="dxa"/>
          <w:tcMar/>
        </w:tcPr>
        <w:p w:rsidR="06910F8B" w:rsidP="06910F8B" w:rsidRDefault="06910F8B" w14:paraId="7D241F14" w14:textId="4020CC3E">
          <w:pPr>
            <w:pStyle w:val="Encabezado"/>
            <w:bidi w:val="0"/>
            <w:jc w:val="center"/>
          </w:pPr>
        </w:p>
      </w:tc>
      <w:tc>
        <w:tcPr>
          <w:tcW w:w="2830" w:type="dxa"/>
          <w:tcMar/>
        </w:tcPr>
        <w:p w:rsidR="06910F8B" w:rsidP="06910F8B" w:rsidRDefault="06910F8B" w14:paraId="3791E18A" w14:textId="05190C0A">
          <w:pPr>
            <w:pStyle w:val="Encabezado"/>
            <w:bidi w:val="0"/>
            <w:ind w:right="-115"/>
            <w:jc w:val="right"/>
          </w:pPr>
        </w:p>
      </w:tc>
    </w:tr>
  </w:tbl>
  <w:p w:rsidR="06910F8B" w:rsidP="06910F8B" w:rsidRDefault="06910F8B" w14:paraId="6A05A3B0" w14:textId="5875BB8C">
    <w:pPr>
      <w:pStyle w:val="Encabezado"/>
      <w:bidi w:val="0"/>
    </w:pPr>
  </w:p>
</w:hdr>
</file>

<file path=word/header4.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06910F8B" w:rsidTr="06910F8B" w14:paraId="6DA0737C">
      <w:trPr>
        <w:trHeight w:val="300"/>
      </w:trPr>
      <w:tc>
        <w:tcPr>
          <w:tcW w:w="2830" w:type="dxa"/>
          <w:tcMar/>
        </w:tcPr>
        <w:p w:rsidR="06910F8B" w:rsidP="06910F8B" w:rsidRDefault="06910F8B" w14:paraId="29D93AFD" w14:textId="6F3CA221">
          <w:pPr>
            <w:pStyle w:val="Encabezado"/>
            <w:bidi w:val="0"/>
            <w:ind w:left="-115"/>
            <w:jc w:val="left"/>
          </w:pPr>
        </w:p>
      </w:tc>
      <w:tc>
        <w:tcPr>
          <w:tcW w:w="2830" w:type="dxa"/>
          <w:tcMar/>
        </w:tcPr>
        <w:p w:rsidR="06910F8B" w:rsidP="06910F8B" w:rsidRDefault="06910F8B" w14:paraId="3E761E7A" w14:textId="6BFA0078">
          <w:pPr>
            <w:pStyle w:val="Encabezado"/>
            <w:bidi w:val="0"/>
            <w:jc w:val="center"/>
          </w:pPr>
        </w:p>
      </w:tc>
      <w:tc>
        <w:tcPr>
          <w:tcW w:w="2830" w:type="dxa"/>
          <w:tcMar/>
        </w:tcPr>
        <w:p w:rsidR="06910F8B" w:rsidP="06910F8B" w:rsidRDefault="06910F8B" w14:paraId="084CC98A" w14:textId="012DA7BD">
          <w:pPr>
            <w:pStyle w:val="Encabezado"/>
            <w:bidi w:val="0"/>
            <w:ind w:right="-115"/>
            <w:jc w:val="right"/>
          </w:pPr>
        </w:p>
      </w:tc>
    </w:tr>
  </w:tbl>
  <w:p w:rsidR="06910F8B" w:rsidP="06910F8B" w:rsidRDefault="06910F8B" w14:paraId="4C53BAE3" w14:textId="4D28447D">
    <w:pPr>
      <w:pStyle w:val="Encabezado"/>
      <w:bidi w:val="0"/>
    </w:pPr>
  </w:p>
</w:hdr>
</file>

<file path=word/intelligence2.xml><?xml version="1.0" encoding="utf-8"?>
<int2:intelligence xmlns:int2="http://schemas.microsoft.com/office/intelligence/2020/intelligence">
  <int2:observations>
    <int2:textHash int2:hashCode="WAAeRD4P7zUxIj" int2:id="hfraU9s3">
      <int2:state int2:type="spell" int2:value="Rejected"/>
    </int2:textHash>
    <int2:textHash int2:hashCode="k3BTEMq8fs/sQY" int2:id="l9if6M1N">
      <int2:state int2:type="spell" int2:value="Rejected"/>
    </int2:textHash>
    <int2:textHash int2:hashCode="ZfSQ42yqeWwTxL" int2:id="wFzES2jG">
      <int2:state int2:type="spell" int2:value="Rejected"/>
    </int2:textHash>
    <int2:textHash int2:hashCode="eboFjeempWMFz6" int2:id="9qsWfjvf">
      <int2:state int2:type="spell" int2:value="Rejected"/>
    </int2:textHash>
    <int2:textHash int2:hashCode="CbSfdD2N9c2qdP" int2:id="cD3RTywz">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1A28"/>
    <w:multiLevelType w:val="multilevel"/>
    <w:tmpl w:val="FFFFFFFF"/>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04C8C7E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446C63"/>
    <w:multiLevelType w:val="multilevel"/>
    <w:tmpl w:val="B914A634"/>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2416FAA"/>
    <w:multiLevelType w:val="multilevel"/>
    <w:tmpl w:val="49B4E66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num w:numId="1" w16cid:durableId="552740668">
    <w:abstractNumId w:val="2"/>
  </w:num>
  <w:num w:numId="2" w16cid:durableId="1035808087">
    <w:abstractNumId w:val="3"/>
  </w:num>
  <w:num w:numId="3" w16cid:durableId="789203065">
    <w:abstractNumId w:val="5"/>
  </w:num>
  <w:num w:numId="4" w16cid:durableId="3689233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186228">
    <w:abstractNumId w:val="0"/>
  </w:num>
  <w:num w:numId="6" w16cid:durableId="1973244446">
    <w:abstractNumId w:val="0"/>
  </w:num>
  <w:num w:numId="7" w16cid:durableId="13569287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121862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1259264">
    <w:abstractNumId w:val="0"/>
  </w:num>
  <w:num w:numId="10" w16cid:durableId="754130799">
    <w:abstractNumId w:val="0"/>
  </w:num>
  <w:num w:numId="11" w16cid:durableId="1863546494">
    <w:abstractNumId w:val="0"/>
  </w:num>
  <w:num w:numId="12" w16cid:durableId="164784418">
    <w:abstractNumId w:val="0"/>
  </w:num>
  <w:num w:numId="13" w16cid:durableId="619260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trackRevisions w:val="false"/>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9523F"/>
    <w:rsid w:val="000E7DA8"/>
    <w:rsid w:val="000F5569"/>
    <w:rsid w:val="001A094A"/>
    <w:rsid w:val="001B6DFC"/>
    <w:rsid w:val="001E36DB"/>
    <w:rsid w:val="002B1AA1"/>
    <w:rsid w:val="00302440"/>
    <w:rsid w:val="003424CA"/>
    <w:rsid w:val="00361147"/>
    <w:rsid w:val="00362BFA"/>
    <w:rsid w:val="0072179D"/>
    <w:rsid w:val="0072474B"/>
    <w:rsid w:val="00882A77"/>
    <w:rsid w:val="00906358"/>
    <w:rsid w:val="00906997"/>
    <w:rsid w:val="00914FAA"/>
    <w:rsid w:val="0096651B"/>
    <w:rsid w:val="009804A5"/>
    <w:rsid w:val="009F2D14"/>
    <w:rsid w:val="00A54EBE"/>
    <w:rsid w:val="00A973DB"/>
    <w:rsid w:val="00AE44BF"/>
    <w:rsid w:val="00B062A6"/>
    <w:rsid w:val="00B32233"/>
    <w:rsid w:val="00BF40E1"/>
    <w:rsid w:val="00C35A4D"/>
    <w:rsid w:val="00C95FBD"/>
    <w:rsid w:val="00CF08CB"/>
    <w:rsid w:val="00D6130F"/>
    <w:rsid w:val="00EA137B"/>
    <w:rsid w:val="00ED5BE2"/>
    <w:rsid w:val="00F254C4"/>
    <w:rsid w:val="00FBF9FB"/>
    <w:rsid w:val="01AC0FE3"/>
    <w:rsid w:val="01E00AA9"/>
    <w:rsid w:val="01FDE920"/>
    <w:rsid w:val="02089425"/>
    <w:rsid w:val="021DCFFA"/>
    <w:rsid w:val="02323FA4"/>
    <w:rsid w:val="03140FB6"/>
    <w:rsid w:val="0382C36E"/>
    <w:rsid w:val="038DEAB5"/>
    <w:rsid w:val="03A19876"/>
    <w:rsid w:val="03CE1EDE"/>
    <w:rsid w:val="03F3D321"/>
    <w:rsid w:val="041FD25F"/>
    <w:rsid w:val="0434BEB7"/>
    <w:rsid w:val="0488626F"/>
    <w:rsid w:val="06058918"/>
    <w:rsid w:val="06910F8B"/>
    <w:rsid w:val="07627292"/>
    <w:rsid w:val="076A7BB9"/>
    <w:rsid w:val="07802520"/>
    <w:rsid w:val="085705A9"/>
    <w:rsid w:val="087CFC26"/>
    <w:rsid w:val="08BFB0ED"/>
    <w:rsid w:val="08E4CD7E"/>
    <w:rsid w:val="0943D238"/>
    <w:rsid w:val="095D26CC"/>
    <w:rsid w:val="09B88B6A"/>
    <w:rsid w:val="09CD55A9"/>
    <w:rsid w:val="0B0629A1"/>
    <w:rsid w:val="0B6BA17E"/>
    <w:rsid w:val="0B9989D4"/>
    <w:rsid w:val="0BEA75DB"/>
    <w:rsid w:val="0CD19DE1"/>
    <w:rsid w:val="0D2A3CC8"/>
    <w:rsid w:val="0DC02FF0"/>
    <w:rsid w:val="0DE5CB2A"/>
    <w:rsid w:val="0E1E1A4F"/>
    <w:rsid w:val="0E6B47CE"/>
    <w:rsid w:val="0F741DED"/>
    <w:rsid w:val="0FD41AE3"/>
    <w:rsid w:val="10627B33"/>
    <w:rsid w:val="11EDD682"/>
    <w:rsid w:val="12711385"/>
    <w:rsid w:val="12B5A3D0"/>
    <w:rsid w:val="13B80F43"/>
    <w:rsid w:val="13BCEEA0"/>
    <w:rsid w:val="13CBBBB6"/>
    <w:rsid w:val="14D4CB6B"/>
    <w:rsid w:val="1520583B"/>
    <w:rsid w:val="1527FA67"/>
    <w:rsid w:val="15297F52"/>
    <w:rsid w:val="156FDB33"/>
    <w:rsid w:val="15A780CC"/>
    <w:rsid w:val="169A732F"/>
    <w:rsid w:val="16B84006"/>
    <w:rsid w:val="16FE1F29"/>
    <w:rsid w:val="1758D6BD"/>
    <w:rsid w:val="18332583"/>
    <w:rsid w:val="185AB1D3"/>
    <w:rsid w:val="18839A80"/>
    <w:rsid w:val="18DCA8DE"/>
    <w:rsid w:val="1929B876"/>
    <w:rsid w:val="1972CE82"/>
    <w:rsid w:val="1A05E1DF"/>
    <w:rsid w:val="1AC5F0AE"/>
    <w:rsid w:val="1B13053D"/>
    <w:rsid w:val="1BCC457F"/>
    <w:rsid w:val="1BFC6AD9"/>
    <w:rsid w:val="1D5E26FB"/>
    <w:rsid w:val="1D68AA91"/>
    <w:rsid w:val="1E60D459"/>
    <w:rsid w:val="1E78ADC9"/>
    <w:rsid w:val="1EC3AC5A"/>
    <w:rsid w:val="1F017E50"/>
    <w:rsid w:val="1F4CDEF0"/>
    <w:rsid w:val="1F7F81E7"/>
    <w:rsid w:val="1FC522D8"/>
    <w:rsid w:val="20420384"/>
    <w:rsid w:val="20449CDB"/>
    <w:rsid w:val="20D87957"/>
    <w:rsid w:val="214527D0"/>
    <w:rsid w:val="2242A3DC"/>
    <w:rsid w:val="22491441"/>
    <w:rsid w:val="22F27BAC"/>
    <w:rsid w:val="23427E28"/>
    <w:rsid w:val="243CA0E6"/>
    <w:rsid w:val="24E60AD0"/>
    <w:rsid w:val="2641250F"/>
    <w:rsid w:val="267A775E"/>
    <w:rsid w:val="26CD5AD5"/>
    <w:rsid w:val="279FE79B"/>
    <w:rsid w:val="27E69D4B"/>
    <w:rsid w:val="284D9DC5"/>
    <w:rsid w:val="286FAB27"/>
    <w:rsid w:val="2884571C"/>
    <w:rsid w:val="2903EC47"/>
    <w:rsid w:val="2A2411B3"/>
    <w:rsid w:val="2A48CE73"/>
    <w:rsid w:val="2A6AC421"/>
    <w:rsid w:val="2A6D0891"/>
    <w:rsid w:val="2AC35FD7"/>
    <w:rsid w:val="2AF8C6DA"/>
    <w:rsid w:val="2C0470FC"/>
    <w:rsid w:val="2CCE4D95"/>
    <w:rsid w:val="2CE9C71B"/>
    <w:rsid w:val="2D820CD9"/>
    <w:rsid w:val="2E614BE0"/>
    <w:rsid w:val="2EF217DF"/>
    <w:rsid w:val="2F58878C"/>
    <w:rsid w:val="2F82D979"/>
    <w:rsid w:val="2FA7C883"/>
    <w:rsid w:val="315A39C5"/>
    <w:rsid w:val="31C8533B"/>
    <w:rsid w:val="31D52A1B"/>
    <w:rsid w:val="31E75665"/>
    <w:rsid w:val="341EA911"/>
    <w:rsid w:val="34668F40"/>
    <w:rsid w:val="34BEDB6F"/>
    <w:rsid w:val="354425EC"/>
    <w:rsid w:val="357D92B0"/>
    <w:rsid w:val="35D0637D"/>
    <w:rsid w:val="35D0B098"/>
    <w:rsid w:val="35FFF612"/>
    <w:rsid w:val="3665D73C"/>
    <w:rsid w:val="36883A59"/>
    <w:rsid w:val="394F69B7"/>
    <w:rsid w:val="3A111A6C"/>
    <w:rsid w:val="3A1CBF0E"/>
    <w:rsid w:val="3A213896"/>
    <w:rsid w:val="3A36133C"/>
    <w:rsid w:val="3BC2B63C"/>
    <w:rsid w:val="3C677858"/>
    <w:rsid w:val="3C8EC91F"/>
    <w:rsid w:val="3CBB097C"/>
    <w:rsid w:val="3D6836AB"/>
    <w:rsid w:val="3D8C7159"/>
    <w:rsid w:val="3E06C7D9"/>
    <w:rsid w:val="3E5E6B96"/>
    <w:rsid w:val="3F9442B3"/>
    <w:rsid w:val="3FD6D906"/>
    <w:rsid w:val="3FEBE7E5"/>
    <w:rsid w:val="40666E4E"/>
    <w:rsid w:val="420871E0"/>
    <w:rsid w:val="4354FAA2"/>
    <w:rsid w:val="436DA086"/>
    <w:rsid w:val="44D5E225"/>
    <w:rsid w:val="44E476CA"/>
    <w:rsid w:val="44F76672"/>
    <w:rsid w:val="4526878E"/>
    <w:rsid w:val="45AD8868"/>
    <w:rsid w:val="46491261"/>
    <w:rsid w:val="472D6226"/>
    <w:rsid w:val="475CD3CF"/>
    <w:rsid w:val="4A60BB39"/>
    <w:rsid w:val="4B3E5910"/>
    <w:rsid w:val="4B439D23"/>
    <w:rsid w:val="4C5C7767"/>
    <w:rsid w:val="4C8E610E"/>
    <w:rsid w:val="4C934317"/>
    <w:rsid w:val="4D1CD370"/>
    <w:rsid w:val="4D3CD041"/>
    <w:rsid w:val="4E135D56"/>
    <w:rsid w:val="4EB2EBBD"/>
    <w:rsid w:val="4EEFEDCF"/>
    <w:rsid w:val="4F0F77E3"/>
    <w:rsid w:val="4F768346"/>
    <w:rsid w:val="4FCC64DA"/>
    <w:rsid w:val="500A43A6"/>
    <w:rsid w:val="51CB0F41"/>
    <w:rsid w:val="525ABFD4"/>
    <w:rsid w:val="52C74921"/>
    <w:rsid w:val="5324634D"/>
    <w:rsid w:val="533EB9B4"/>
    <w:rsid w:val="53795E76"/>
    <w:rsid w:val="537CB7B8"/>
    <w:rsid w:val="542C2D59"/>
    <w:rsid w:val="543267CF"/>
    <w:rsid w:val="5490DEB4"/>
    <w:rsid w:val="55662DBF"/>
    <w:rsid w:val="560AE57E"/>
    <w:rsid w:val="566C7683"/>
    <w:rsid w:val="56A6F953"/>
    <w:rsid w:val="56AAF446"/>
    <w:rsid w:val="571DD1A6"/>
    <w:rsid w:val="57637B15"/>
    <w:rsid w:val="57D0E66C"/>
    <w:rsid w:val="58A243EB"/>
    <w:rsid w:val="595AAD0A"/>
    <w:rsid w:val="59617F95"/>
    <w:rsid w:val="59DD0FB3"/>
    <w:rsid w:val="5A0B8EF3"/>
    <w:rsid w:val="5A153932"/>
    <w:rsid w:val="5AFF4659"/>
    <w:rsid w:val="5B81C68C"/>
    <w:rsid w:val="5C26BCD4"/>
    <w:rsid w:val="5C2C0463"/>
    <w:rsid w:val="5C476581"/>
    <w:rsid w:val="5CF49FAD"/>
    <w:rsid w:val="5D9E5553"/>
    <w:rsid w:val="5E4AFCFD"/>
    <w:rsid w:val="5EE885B5"/>
    <w:rsid w:val="5EFA68EE"/>
    <w:rsid w:val="5FCB806C"/>
    <w:rsid w:val="5FD6C84C"/>
    <w:rsid w:val="6133C959"/>
    <w:rsid w:val="62593DF1"/>
    <w:rsid w:val="62BED238"/>
    <w:rsid w:val="630C1159"/>
    <w:rsid w:val="63D3B27E"/>
    <w:rsid w:val="64255738"/>
    <w:rsid w:val="6461D0F1"/>
    <w:rsid w:val="64A89E9F"/>
    <w:rsid w:val="64AB3F5D"/>
    <w:rsid w:val="64F3C726"/>
    <w:rsid w:val="65B06CD5"/>
    <w:rsid w:val="680F6DBC"/>
    <w:rsid w:val="6845946F"/>
    <w:rsid w:val="687521D7"/>
    <w:rsid w:val="68CABE96"/>
    <w:rsid w:val="69BA00E8"/>
    <w:rsid w:val="69E26C8E"/>
    <w:rsid w:val="6A5F4401"/>
    <w:rsid w:val="6A81C947"/>
    <w:rsid w:val="6A9D6460"/>
    <w:rsid w:val="6AC30F5F"/>
    <w:rsid w:val="6ACC4ABF"/>
    <w:rsid w:val="6ACEEB97"/>
    <w:rsid w:val="6B426F97"/>
    <w:rsid w:val="6B79C08C"/>
    <w:rsid w:val="6C1439FB"/>
    <w:rsid w:val="6C1E2FAE"/>
    <w:rsid w:val="6D4C3326"/>
    <w:rsid w:val="6E8A261C"/>
    <w:rsid w:val="6E9E5ECF"/>
    <w:rsid w:val="6FEDF96F"/>
    <w:rsid w:val="707E2A29"/>
    <w:rsid w:val="722DDEF2"/>
    <w:rsid w:val="724C8D16"/>
    <w:rsid w:val="728D080F"/>
    <w:rsid w:val="72C3BA29"/>
    <w:rsid w:val="7313B920"/>
    <w:rsid w:val="737CD6C4"/>
    <w:rsid w:val="73B4A668"/>
    <w:rsid w:val="746B1DDF"/>
    <w:rsid w:val="749AA663"/>
    <w:rsid w:val="74A58DB0"/>
    <w:rsid w:val="74C0BF24"/>
    <w:rsid w:val="74D61C37"/>
    <w:rsid w:val="758A2EC4"/>
    <w:rsid w:val="767241BA"/>
    <w:rsid w:val="78BD6DAE"/>
    <w:rsid w:val="795E873E"/>
    <w:rsid w:val="79641535"/>
    <w:rsid w:val="7970DD0D"/>
    <w:rsid w:val="798F3A99"/>
    <w:rsid w:val="7A2E055D"/>
    <w:rsid w:val="7ADFD32E"/>
    <w:rsid w:val="7AF60351"/>
    <w:rsid w:val="7B1242A2"/>
    <w:rsid w:val="7B7952AA"/>
    <w:rsid w:val="7C4FBC58"/>
    <w:rsid w:val="7CA3FB67"/>
    <w:rsid w:val="7CADDB51"/>
    <w:rsid w:val="7CE90229"/>
    <w:rsid w:val="7DA9C2D3"/>
    <w:rsid w:val="7DABD907"/>
    <w:rsid w:val="7DED2F8D"/>
    <w:rsid w:val="7E3EFFA4"/>
    <w:rsid w:val="7F76C191"/>
    <w:rsid w:val="7FAA652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94D4C"/>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7B12"/>
    <w:pPr>
      <w:spacing w:after="200" w:line="276" w:lineRule="auto"/>
      <w:jc w:val="both"/>
    </w:pPr>
    <w:rPr>
      <w:rFonts w:ascii="Arial" w:hAnsi="Arial" w:cs="Arial"/>
      <w:sz w:val="22"/>
    </w:rPr>
  </w:style>
  <w:style w:type="paragraph" w:styleId="Ttulo1">
    <w:name w:val="heading 1"/>
    <w:basedOn w:val="Normal"/>
    <w:next w:val="Normal"/>
    <w:link w:val="Ttulo1Car"/>
    <w:uiPriority w:val="9"/>
    <w:qFormat/>
    <w:rsid w:val="003D305D"/>
    <w:pPr>
      <w:keepNext/>
      <w:keepLines/>
      <w:spacing w:before="240" w:after="240"/>
      <w:outlineLvl w:val="0"/>
    </w:pPr>
    <w:rPr>
      <w:rFonts w:eastAsiaTheme="majorEastAsia"/>
      <w:b/>
      <w:color w:val="000000"/>
      <w:sz w:val="44"/>
      <w:szCs w:val="36"/>
    </w:rPr>
  </w:style>
  <w:style w:type="paragraph" w:styleId="Ttulo2">
    <w:name w:val="heading 2"/>
    <w:basedOn w:val="Ttulo1"/>
    <w:next w:val="Normal"/>
    <w:link w:val="Ttulo2Car"/>
    <w:uiPriority w:val="9"/>
    <w:unhideWhenUsed/>
    <w:qFormat/>
    <w:rsid w:val="00C34DDE"/>
    <w:pPr>
      <w:outlineLvl w:val="1"/>
    </w:pPr>
    <w:rPr>
      <w:sz w:val="32"/>
      <w:szCs w:val="32"/>
      <w:lang w:eastAsia="es-ES"/>
    </w:rPr>
  </w:style>
  <w:style w:type="paragraph" w:styleId="Ttulo3">
    <w:name w:val="heading 3"/>
    <w:basedOn w:val="Ttulo2"/>
    <w:next w:val="Normal"/>
    <w:link w:val="Ttulo3Car"/>
    <w:uiPriority w:val="9"/>
    <w:unhideWhenUsed/>
    <w:qFormat/>
    <w:rsid w:val="000C0251"/>
    <w:pPr>
      <w:spacing w:before="200" w:after="100"/>
      <w:outlineLvl w:val="2"/>
    </w:pPr>
    <w:rPr>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EncabezadoCar" w:customStyle="1">
    <w:name w:val="Encabezado Car"/>
    <w:basedOn w:val="Fuentedeprrafopredeter"/>
    <w:link w:val="Encabezado"/>
    <w:uiPriority w:val="99"/>
    <w:qFormat/>
    <w:rsid w:val="005E56A0"/>
  </w:style>
  <w:style w:type="character" w:styleId="PiedepginaCar" w:customStyle="1">
    <w:name w:val="Pie de página Car"/>
    <w:basedOn w:val="Fuentedeprrafopredeter"/>
    <w:link w:val="Piedepgina"/>
    <w:uiPriority w:val="99"/>
    <w:qFormat/>
    <w:rsid w:val="005E56A0"/>
  </w:style>
  <w:style w:type="character" w:styleId="TextodegloboCar" w:customStyle="1">
    <w:name w:val="Texto de globo Car"/>
    <w:basedOn w:val="Fuentedeprrafopredeter"/>
    <w:link w:val="Textodeglobo"/>
    <w:uiPriority w:val="99"/>
    <w:semiHidden/>
    <w:qFormat/>
    <w:rsid w:val="005E56A0"/>
    <w:rPr>
      <w:rFonts w:ascii="Tahoma" w:hAnsi="Tahoma" w:cs="Tahoma"/>
      <w:sz w:val="16"/>
      <w:szCs w:val="16"/>
    </w:rPr>
  </w:style>
  <w:style w:type="character" w:styleId="Ttulo1Car" w:customStyle="1">
    <w:name w:val="Título 1 Car"/>
    <w:basedOn w:val="Fuentedeprrafopredeter"/>
    <w:link w:val="Ttulo1"/>
    <w:uiPriority w:val="9"/>
    <w:qFormat/>
    <w:rsid w:val="003D305D"/>
    <w:rPr>
      <w:rFonts w:ascii="Arial" w:hAnsi="Arial" w:cs="Arial" w:eastAsiaTheme="majorEastAsia"/>
      <w:color w:val="000000" w:themeColor="text1"/>
      <w:sz w:val="44"/>
      <w:szCs w:val="36"/>
    </w:rPr>
  </w:style>
  <w:style w:type="character" w:styleId="TtuloCar" w:customStyle="1">
    <w:name w:val="Título Car"/>
    <w:basedOn w:val="Fuentedeprrafopredeter"/>
    <w:link w:val="Ttulo"/>
    <w:uiPriority w:val="10"/>
    <w:qFormat/>
    <w:rsid w:val="0066332F"/>
    <w:rPr>
      <w:rFonts w:asciiTheme="majorHAnsi" w:hAnsiTheme="majorHAnsi" w:eastAsiaTheme="majorEastAsia" w:cstheme="majorBidi"/>
      <w:spacing w:val="-10"/>
      <w:sz w:val="56"/>
      <w:szCs w:val="56"/>
    </w:rPr>
  </w:style>
  <w:style w:type="character" w:styleId="Ttulo2Car" w:customStyle="1">
    <w:name w:val="Título 2 Car"/>
    <w:basedOn w:val="Fuentedeprrafopredeter"/>
    <w:link w:val="Ttulo2"/>
    <w:uiPriority w:val="9"/>
    <w:qFormat/>
    <w:rsid w:val="00C34DDE"/>
    <w:rPr>
      <w:rFonts w:ascii="Arial" w:hAnsi="Arial" w:cs="Arial" w:eastAsiaTheme="majorEastAsia"/>
      <w:color w:val="000000" w:themeColor="text1"/>
      <w:sz w:val="32"/>
      <w:szCs w:val="32"/>
      <w:lang w:eastAsia="es-ES"/>
    </w:rPr>
  </w:style>
  <w:style w:type="character" w:styleId="Ttulo3Car" w:customStyle="1">
    <w:name w:val="Título 3 Car"/>
    <w:basedOn w:val="Fuentedeprrafopredeter"/>
    <w:link w:val="Ttulo3"/>
    <w:uiPriority w:val="9"/>
    <w:qFormat/>
    <w:rsid w:val="000C0251"/>
    <w:rPr>
      <w:rFonts w:ascii="Arial" w:hAnsi="Arial" w:cs="Arial" w:eastAsiaTheme="majorEastAsia"/>
      <w:color w:val="000000" w:themeColor="text1"/>
      <w:sz w:val="32"/>
      <w:szCs w:val="32"/>
      <w:lang w:eastAsia="es-ES"/>
    </w:rPr>
  </w:style>
  <w:style w:type="character" w:styleId="EnlacedeInternet" w:customStyle="1">
    <w:name w:val="Enlace de Internet"/>
    <w:uiPriority w:val="99"/>
    <w:unhideWhenUsed/>
    <w:qFormat/>
    <w:rsid w:val="00AC09EB"/>
    <w:rPr>
      <w:color w:val="000080"/>
      <w:u w:val="single"/>
    </w:rPr>
  </w:style>
  <w:style w:type="character" w:styleId="MapadeldocumentoCar" w:customStyle="1">
    <w:name w:val="Mapa del documento Car"/>
    <w:basedOn w:val="Fuentedeprrafopredeter"/>
    <w:link w:val="Mapadeldocumento"/>
    <w:uiPriority w:val="99"/>
    <w:qFormat/>
    <w:rsid w:val="00F438E0"/>
    <w:rPr>
      <w:rFonts w:ascii="Tahoma" w:hAnsi="Tahoma" w:cs="Tahoma" w:eastAsiaTheme="minorEastAsia"/>
      <w:sz w:val="16"/>
      <w:szCs w:val="16"/>
      <w:lang w:eastAsia="es-ES"/>
    </w:rPr>
  </w:style>
  <w:style w:type="character" w:styleId="Enlacedelndice" w:customStyle="1">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hAnsiTheme="majorHAnsi" w:eastAsiaTheme="majorEastAsia"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before="80" w:after="160" w:line="240" w:lineRule="auto"/>
      <w:jc w:val="center"/>
    </w:pPr>
    <w:rPr>
      <w:i/>
      <w:iCs/>
      <w:color w:val="000000"/>
      <w:sz w:val="18"/>
      <w:szCs w:val="18"/>
    </w:rPr>
  </w:style>
  <w:style w:type="paragraph" w:styleId="ndice" w:customStyle="1">
    <w:name w:val="Índice"/>
    <w:basedOn w:val="Normal"/>
    <w:qFormat/>
    <w:pPr>
      <w:suppressLineNumbers/>
    </w:pPr>
    <w:rPr>
      <w:rFonts w:cs="Lohit Devanagari"/>
    </w:rPr>
  </w:style>
  <w:style w:type="paragraph" w:styleId="Cabeceraypie" w:customStyle="1">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hAnsi="Tahoma" w:cs="Tahoma" w:eastAsiaTheme="minorEastAsia"/>
      <w:sz w:val="16"/>
      <w:szCs w:val="16"/>
      <w:lang w:eastAsia="es-ES"/>
    </w:rPr>
  </w:style>
  <w:style w:type="paragraph" w:styleId="FrameContents" w:customStyle="1">
    <w:name w:val="Frame Contents"/>
    <w:basedOn w:val="Normal"/>
    <w:qFormat/>
  </w:style>
  <w:style w:type="paragraph" w:styleId="Contenidodelmarco" w:customStyle="1">
    <w:name w:val="Contenido del marco"/>
    <w:basedOn w:val="Normal"/>
    <w:qFormat/>
  </w:style>
  <w:style w:type="paragraph" w:styleId="Cabeceraizquierda" w:customStyle="1">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C95FBD"/>
    <w:rPr>
      <w:color w:val="0000FF" w:themeColor="hyperlink"/>
      <w:u w:val="single"/>
    </w:rPr>
  </w:style>
  <w:style w:type="paragraph" w:styleId="SourceCode" w:customStyle="1">
    <w:name w:val="Source Code"/>
    <w:basedOn w:val="Normal"/>
    <w:pPr>
      <w:wordWrap w:val="0"/>
    </w:pPr>
  </w:style>
  <w:style w:type="character" w:styleId="KeywordTok" w:customStyle="1">
    <w:name w:val="KeywordTok"/>
    <w:rPr>
      <w:b/>
      <w:color w:val="007020"/>
    </w:rPr>
  </w:style>
  <w:style w:type="character" w:styleId="NormalTok" w:customStyle="1">
    <w:name w:val="NormalTok"/>
  </w:style>
  <w:style w:type="character" w:styleId="FunctionTok" w:customStyle="1">
    <w:name w:val="FunctionTok"/>
    <w:rPr>
      <w:color w:val="06287E"/>
    </w:rPr>
  </w:style>
  <w:style w:type="character" w:styleId="VariableTok" w:customStyle="1">
    <w:name w:val="VariableTok"/>
    <w:rPr>
      <w:color w:val="19177C"/>
    </w:rPr>
  </w:style>
  <w:style w:type="character" w:styleId="BuiltInTok" w:customStyle="1">
    <w:name w:val="BuiltInTok"/>
    <w:rPr>
      <w:color w:val="008000"/>
    </w:rPr>
  </w:style>
  <w:style w:type="character" w:styleId="OperatorTok" w:customStyle="1">
    <w:name w:val="OperatorTok"/>
    <w:rPr>
      <w:color w:val="666666"/>
    </w:rPr>
  </w:style>
  <w:style w:type="character" w:styleId="ControlFlowTok" w:customStyle="1">
    <w:name w:val="ControlFlowTok"/>
    <w:rPr>
      <w:b/>
      <w:color w:val="007020"/>
    </w:rPr>
  </w:style>
  <w:style w:type="character" w:styleId="ExtensionTok" w:customStyle="1">
    <w:name w:val="ExtensionTok"/>
  </w:style>
  <w:style w:type="character" w:styleId="AttributeTok" w:customStyle="1">
    <w:name w:val="AttributeTok"/>
    <w:rPr>
      <w:color w:val="7D9029"/>
    </w:rPr>
  </w:style>
  <w:style w:type="character" w:styleId="DataTypeTok" w:customStyle="1">
    <w:name w:val="DataTypeTok"/>
    <w:rPr>
      <w:color w:val="902000"/>
    </w:rPr>
  </w:style>
  <w:style w:type="character" w:styleId="StringTok" w:customStyle="1">
    <w:name w:val="StringTok"/>
    <w:rPr>
      <w:color w:val="4070A0"/>
    </w:rPr>
  </w:style>
  <w:style w:type="paragraph" w:styleId="TFMCode" w:customStyle="1">
    <w:name w:val="TFM Code"/>
    <w:basedOn w:val="Normal"/>
    <w:pPr>
      <w:spacing w:before="80" w:after="120" w:line="240" w:lineRule="auto"/>
      <w:ind w:left="142" w:right="85"/>
      <w:jc w:val="left"/>
    </w:pPr>
    <w:rPr>
      <w:rFonts w:ascii="Consolas" w:hAnsi="Consolas"/>
      <w:sz w:val="15"/>
    </w:rPr>
  </w:style>
  <w:style w:type="paragraph" w:styleId="TFMBibliography" w:customStyle="1">
    <w:name w:val="TFM Bibliography"/>
    <w:basedOn w:val="Normal"/>
    <w:pPr>
      <w:spacing w:after="120" w:line="240" w:lineRule="auto"/>
      <w:ind w:left="720" w:hanging="720"/>
    </w:pPr>
    <w:rPr>
      <w:sz w:val="20"/>
    </w:rPr>
  </w:style>
  <w:style w:type="paragraph" w:styleId="TFMHighlight" w:customStyle="1">
    <w:name w:val="TFM Highlight"/>
    <w:basedOn w:val="Normal"/>
    <w:pPr>
      <w:spacing w:before="160" w:after="160"/>
      <w:ind w:left="397" w:right="397"/>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no'?>
<Relationships xmlns="http://schemas.openxmlformats.org/package/2006/relationships"><Relationship Type="http://schemas.openxmlformats.org/officeDocument/2006/relationships/hyperlink" Target="https://doi.org/10.1007/978-3-319-46723-8_49" TargetMode="External" Id="rId18"/><Relationship Type="http://schemas.openxmlformats.org/officeDocument/2006/relationships/hyperlink" Target="https://doi.org/10.1148/ryai.220231" TargetMode="External" Id="rId26"/><Relationship Type="http://schemas.openxmlformats.org/officeDocument/2006/relationships/hyperlink" Target="https://doi.org/10.1007/978-3-030-11726-9_28" TargetMode="External" Id="rId39"/><Relationship Type="http://schemas.openxmlformats.org/officeDocument/2006/relationships/hyperlink" Target="https://openreview.net/forum?id=YicbFdNTTy" TargetMode="External" Id="rId21"/><Relationship Type="http://schemas.openxmlformats.org/officeDocument/2006/relationships/hyperlink" Target="https://doi.org/10.1109/ICCV48922.2021.00986" TargetMode="External" Id="rId34"/><Relationship Type="http://schemas.openxmlformats.org/officeDocument/2006/relationships/hyperlink" Target="https://doi.org/10.1007/978-3-319-24574-4_28" TargetMode="External" Id="rId42"/><Relationship Type="http://schemas.openxmlformats.org/officeDocument/2006/relationships/hyperlink" Target="https://papers.nips.cc/paper_files/paper/2017/hash/3f5ee243547dee91fbd053c1c4a845aa-Abstract.html" TargetMode="External" Id="rId47"/><Relationship Type="http://schemas.openxmlformats.org/officeDocument/2006/relationships/hyperlink" Target="https://github.com/jesusferron/tfm-brain-tumor-segmentation" TargetMode="External" Id="rId50"/><Relationship Type="http://schemas.openxmlformats.org/officeDocument/2006/relationships/footer" Target="footer2.xml" Id="rId55"/><Relationship Type="http://schemas.openxmlformats.org/officeDocument/2006/relationships/endnotes" Target="endnotes.xml" Id="rId7"/><Relationship Type="http://schemas.openxmlformats.org/officeDocument/2006/relationships/numbering" Target="numbering.xml" Id="rId2"/><Relationship Type="http://schemas.openxmlformats.org/officeDocument/2006/relationships/hyperlink" Target="https://doi.org/10.1002/mp.16321" TargetMode="External" Id="rId16"/><Relationship Type="http://schemas.openxmlformats.org/officeDocument/2006/relationships/hyperlink" Target="https://doi.org/10.1016/j.media.2016.10.004" TargetMode="External" Id="rId29"/><Relationship Type="http://schemas.openxmlformats.org/officeDocument/2006/relationships/hyperlink" Target="https://doi.org/10.1016/j.media.2016.05.004" TargetMode="External" Id="rId24"/><Relationship Type="http://schemas.openxmlformats.org/officeDocument/2006/relationships/hyperlink" Target="https://doi.org/10.1038/nrneurol.2017.44" TargetMode="External" Id="rId32"/><Relationship Type="http://schemas.openxmlformats.org/officeDocument/2006/relationships/hyperlink" Target="https://doi.org/10.1109/TMI.2014.2377694" TargetMode="External" Id="rId37"/><Relationship Type="http://schemas.openxmlformats.org/officeDocument/2006/relationships/hyperlink" Target="https://doi.org/10.48550/arXiv.1804.03999" TargetMode="External" Id="rId40"/><Relationship Type="http://schemas.openxmlformats.org/officeDocument/2006/relationships/hyperlink" Target="https://doi.org/10.1186/s12880-015-0068-x" TargetMode="External" Id="rId45"/><Relationship Type="http://schemas.openxmlformats.org/officeDocument/2006/relationships/header" Target="header2.xml" Id="rId53"/><Relationship Type="http://schemas.openxmlformats.org/officeDocument/2006/relationships/webSettings" Target="webSettings.xml" Id="rId5"/><Relationship Type="http://schemas.openxmlformats.org/officeDocument/2006/relationships/hyperlink" Target="https://doi.org/10.48550/arXiv.2405.18368" TargetMode="External" Id="rId19"/><Relationship Type="http://schemas.openxmlformats.org/officeDocument/2006/relationships/settings" Target="settings.xml" Id="rId4"/><Relationship Type="http://schemas.openxmlformats.org/officeDocument/2006/relationships/image" Target="media/image4.png" Id="rId14"/><Relationship Type="http://schemas.openxmlformats.org/officeDocument/2006/relationships/hyperlink" Target="https://doi.org/10.1001/jamanetworkopen.2022.25608" TargetMode="External" Id="rId22"/><Relationship Type="http://schemas.openxmlformats.org/officeDocument/2006/relationships/hyperlink" Target="https://doi.org/10.1109/34.232073" TargetMode="External" Id="rId27"/><Relationship Type="http://schemas.openxmlformats.org/officeDocument/2006/relationships/hyperlink" Target="https://doi.org/10.1038/s41698-024-00575-0" TargetMode="External" Id="rId30"/><Relationship Type="http://schemas.openxmlformats.org/officeDocument/2006/relationships/hyperlink" Target="https://doi.org/10.1109/CVPR.2015.7298965" TargetMode="External" Id="rId35"/><Relationship Type="http://schemas.openxmlformats.org/officeDocument/2006/relationships/hyperlink" Target="https://doi.org/10.1093/braincomms/fcad118" TargetMode="External" Id="rId43"/><Relationship Type="http://schemas.openxmlformats.org/officeDocument/2006/relationships/hyperlink" Target="https://doi.org/10.1007/978-3-030-87193-2_11" TargetMode="External" Id="rId48"/><Relationship Type="http://schemas.openxmlformats.org/officeDocument/2006/relationships/fontTable" Target="fontTable.xml" Id="rId56"/><Relationship Type="http://schemas.openxmlformats.org/officeDocument/2006/relationships/image" Target="media/image1.jpeg" Id="rId8"/><Relationship Type="http://schemas.openxmlformats.org/officeDocument/2006/relationships/hyperlink" Target="https://www.synapse.org/Synapse:syn53708249" TargetMode="External" Id="rId51"/><Relationship Type="http://schemas.openxmlformats.org/officeDocument/2006/relationships/styles" Target="styles.xml" Id="rId3"/><Relationship Type="http://schemas.openxmlformats.org/officeDocument/2006/relationships/hyperlink" Target="https://doi.org/10.48550/arXiv.2211.02701" TargetMode="External" Id="rId17"/><Relationship Type="http://schemas.openxmlformats.org/officeDocument/2006/relationships/hyperlink" Target="https://doi.org/10.1109/CVPR.2016.90" TargetMode="External" Id="rId25"/><Relationship Type="http://schemas.openxmlformats.org/officeDocument/2006/relationships/hyperlink" Target="https://doi.org/10.3389/fnins.2022.1000587" TargetMode="External" Id="rId33"/><Relationship Type="http://schemas.openxmlformats.org/officeDocument/2006/relationships/hyperlink" Target="https://doi.org/10.1109/3DV.2016.79" TargetMode="External" Id="rId38"/><Relationship Type="http://schemas.openxmlformats.org/officeDocument/2006/relationships/hyperlink" Target="https://doi.org/10.1109/CVPR52688.2022.02007" TargetMode="External" Id="rId46"/><Relationship Type="http://schemas.openxmlformats.org/officeDocument/2006/relationships/hyperlink" Target="https://doi.org/10.2307/1932409" TargetMode="External" Id="rId20"/><Relationship Type="http://schemas.openxmlformats.org/officeDocument/2006/relationships/hyperlink" Target="https://www.jmlr.org/papers/v22/20-303.html" TargetMode="External" Id="rId41"/><Relationship Type="http://schemas.openxmlformats.org/officeDocument/2006/relationships/footer" Target="footer1.xml" Id="rId54"/><Relationship Type="http://schemas.openxmlformats.org/officeDocument/2006/relationships/customXml" Target="../customXml/item1.xml" Id="rId1"/><Relationship Type="http://schemas.openxmlformats.org/officeDocument/2006/relationships/footnotes" Target="footnotes.xml" Id="rId6"/><Relationship Type="http://schemas.openxmlformats.org/officeDocument/2006/relationships/image" Target="media/image5.png" Id="rId15"/><Relationship Type="http://schemas.openxmlformats.org/officeDocument/2006/relationships/hyperlink" Target="https://doi.org/10.1109/WACV51458.2022.00181" TargetMode="External" Id="rId23"/><Relationship Type="http://schemas.openxmlformats.org/officeDocument/2006/relationships/hyperlink" Target="https://doi.org/10.1038/s41592-020-01008-z" TargetMode="External" Id="rId28"/><Relationship Type="http://schemas.openxmlformats.org/officeDocument/2006/relationships/hyperlink" Target="https://proceedings.mlsys.org/paper_files/paper/2020/hash/411e39b117e885341f25efb8912945f7-Abstract.html" TargetMode="External" Id="rId36"/><Relationship Type="http://schemas.openxmlformats.org/officeDocument/2006/relationships/hyperlink" Target="https://doi.org/10.1016/j.patcog.2021.108417" TargetMode="External" Id="rId49"/><Relationship Type="http://schemas.openxmlformats.org/officeDocument/2006/relationships/theme" Target="theme/theme1.xml" Id="rId57"/><Relationship Type="http://schemas.openxmlformats.org/officeDocument/2006/relationships/hyperlink" Target="https://doi.org/10.1093/noajnl/vdac081" TargetMode="External" Id="rId31"/><Relationship Type="http://schemas.openxmlformats.org/officeDocument/2006/relationships/hyperlink" Target="https://doi.org/10.1109/TMI.2024.3398728" TargetMode="External" Id="rId44"/><Relationship Type="http://schemas.openxmlformats.org/officeDocument/2006/relationships/header" Target="header1.xml" Id="rId52"/><Relationship Type="http://schemas.openxmlformats.org/officeDocument/2006/relationships/header" Target="header3.xml" Id="R1ca43e5aa9d74e8b"/><Relationship Type="http://schemas.openxmlformats.org/officeDocument/2006/relationships/header" Target="header4.xml" Id="R60b3f28a41e64a8f"/><Relationship Type="http://schemas.openxmlformats.org/officeDocument/2006/relationships/footer" Target="footer3.xml" Id="R974bbea84c934c1a"/><Relationship Type="http://schemas.openxmlformats.org/officeDocument/2006/relationships/footer" Target="footer4.xml" Id="Reacde8b01d3348db"/><Relationship Type="http://schemas.openxmlformats.org/officeDocument/2006/relationships/hyperlink" Target="https://github.com/Project-MONAI/MONAI" TargetMode="External" Id="R27f223919ff8495d"/><Relationship Type="http://schemas.openxmlformats.org/officeDocument/2006/relationships/hyperlink" Target="https://github.com/MIC-DKFZ/nnUNet" TargetMode="External" Id="Rdb6af17dc4504193"/><Relationship Type="http://schemas.openxmlformats.org/officeDocument/2006/relationships/hyperlink" Target="https://github.com/Rubics-Xuan/TransBTS" TargetMode="External" Id="R192708830a4c48f7"/><Relationship Type="http://schemas.openxmlformats.org/officeDocument/2006/relationships/image" Target="/media/image6.png" Id="rId223393701"/><Relationship Type="http://schemas.openxmlformats.org/officeDocument/2006/relationships/image" Target="/media/image7.png" Id="rId1669671144"/><Relationship Type="http://schemas.microsoft.com/office/2020/10/relationships/intelligence" Target="intelligence2.xml" Id="R0ea53bb02b3a4f4d"/><Relationship Id="rIdEditorialReview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51251-26D7-4C0E-83A9-5BA2382BF72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Segmentación de tumores cerebrales en resonancia magnética multimodal mediante arquitecturas Transformer-UNet híbridas</dc:title>
  <dc:subject>Trabajo Fin de Máster</dc:subject>
  <dc:creator/>
  <keywords>segmentación 3D, resonancia magnética, BraTS-GLI 2024, fusión multimodal, deep learning</keywords>
  <dc:description/>
  <lastModifiedBy>Jesús Ferrón Rubio</lastModifiedBy>
  <revision>4</revision>
  <dcterms:created xsi:type="dcterms:W3CDTF">2026-07-21T13:22:00.0000000Z</dcterms:created>
  <dcterms:modified xsi:type="dcterms:W3CDTF">2026-07-22T11:01:10.0228715Z</dcterms:modified>
  <dc:language>es-ES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